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CF" w:rsidRDefault="006700CF" w:rsidP="006700CF">
      <w:pPr>
        <w:pStyle w:val="Title"/>
        <w:spacing w:after="0"/>
      </w:pPr>
      <w:bookmarkStart w:id="0" w:name="_GoBack"/>
      <w:bookmarkEnd w:id="0"/>
      <w:r w:rsidRPr="00A1594B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FF90C6A" wp14:editId="405E2037">
            <wp:simplePos x="0" y="0"/>
            <wp:positionH relativeFrom="column">
              <wp:posOffset>4230370</wp:posOffset>
            </wp:positionH>
            <wp:positionV relativeFrom="paragraph">
              <wp:posOffset>-343535</wp:posOffset>
            </wp:positionV>
            <wp:extent cx="2200275" cy="942975"/>
            <wp:effectExtent l="0" t="0" r="9525" b="9525"/>
            <wp:wrapTight wrapText="bothSides">
              <wp:wrapPolygon edited="0">
                <wp:start x="5236" y="3491"/>
                <wp:lineTo x="0" y="5236"/>
                <wp:lineTo x="0" y="16582"/>
                <wp:lineTo x="748" y="21382"/>
                <wp:lineTo x="5236" y="21382"/>
                <wp:lineTo x="21506" y="20073"/>
                <wp:lineTo x="21506" y="5673"/>
                <wp:lineTo x="20384" y="5236"/>
                <wp:lineTo x="6171" y="3491"/>
                <wp:lineTo x="5236" y="3491"/>
              </wp:wrapPolygon>
            </wp:wrapTight>
            <wp:docPr id="1" name="Picture 1" descr="temp%2D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%2Dlog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7196" b="15862"/>
                    <a:stretch/>
                  </pic:blipFill>
                  <pic:spPr bwMode="auto"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5BA">
        <w:t>Climate Change Adaptation</w:t>
      </w:r>
    </w:p>
    <w:p w:rsidR="006700CF" w:rsidRDefault="003015BA" w:rsidP="006700CF">
      <w:pPr>
        <w:pStyle w:val="Subtitle"/>
        <w:rPr>
          <w:rStyle w:val="SubtitleChar"/>
          <w:i/>
          <w:iCs/>
          <w:smallCaps/>
        </w:rPr>
      </w:pPr>
      <w:r>
        <w:rPr>
          <w:rStyle w:val="SubtitleChar"/>
          <w:i/>
          <w:iCs/>
          <w:smallCaps/>
        </w:rPr>
        <w:t xml:space="preserve">Enabling Progress Measurement </w:t>
      </w:r>
      <w:r w:rsidR="0078775B">
        <w:rPr>
          <w:rStyle w:val="SubtitleChar"/>
          <w:i/>
          <w:iCs/>
          <w:smallCaps/>
        </w:rPr>
        <w:t>in</w:t>
      </w:r>
      <w:r>
        <w:rPr>
          <w:rStyle w:val="SubtitleChar"/>
          <w:i/>
          <w:iCs/>
          <w:smallCaps/>
        </w:rPr>
        <w:t xml:space="preserve"> Basin-Boundary </w:t>
      </w:r>
      <w:r w:rsidR="0078775B">
        <w:rPr>
          <w:rStyle w:val="SubtitleChar"/>
          <w:i/>
          <w:iCs/>
          <w:smallCaps/>
        </w:rPr>
        <w:t>Communities</w:t>
      </w:r>
    </w:p>
    <w:p w:rsidR="006700CF" w:rsidRPr="002F553D" w:rsidRDefault="006700CF" w:rsidP="006700CF">
      <w:pPr>
        <w:pStyle w:val="Heading2"/>
        <w:ind w:left="142" w:hanging="142"/>
        <w:rPr>
          <w:szCs w:val="28"/>
          <w:lang w:eastAsia="en-CA"/>
        </w:rPr>
      </w:pPr>
      <w:r w:rsidRPr="002F553D">
        <w:rPr>
          <w:szCs w:val="28"/>
          <w:lang w:eastAsia="en-CA"/>
        </w:rPr>
        <w:t>Purpose</w:t>
      </w:r>
    </w:p>
    <w:p w:rsidR="006700CF" w:rsidRPr="00532D2F" w:rsidRDefault="00532D2F" w:rsidP="006700CF">
      <w:pPr>
        <w:pStyle w:val="NoSpacing"/>
        <w:rPr>
          <w:rStyle w:val="A6"/>
          <w:color w:val="auto"/>
          <w:sz w:val="22"/>
          <w:szCs w:val="22"/>
        </w:rPr>
      </w:pPr>
      <w:r w:rsidRPr="00532D2F">
        <w:rPr>
          <w:rStyle w:val="A6"/>
          <w:color w:val="auto"/>
          <w:sz w:val="22"/>
          <w:szCs w:val="22"/>
        </w:rPr>
        <w:t xml:space="preserve">Pilot, evaluate, refine, and support uptake of the </w:t>
      </w:r>
      <w:hyperlink r:id="rId9" w:history="1">
        <w:r w:rsidRPr="00B44352">
          <w:rPr>
            <w:rStyle w:val="Hyperlink"/>
            <w:rFonts w:cstheme="minorBidi"/>
            <w:i/>
            <w:szCs w:val="22"/>
          </w:rPr>
          <w:t>State of Climate Adaptation and Resilience in the Basin</w:t>
        </w:r>
      </w:hyperlink>
      <w:r w:rsidRPr="00532D2F">
        <w:rPr>
          <w:rStyle w:val="A6"/>
          <w:color w:val="auto"/>
          <w:sz w:val="22"/>
          <w:szCs w:val="22"/>
        </w:rPr>
        <w:t xml:space="preserve"> </w:t>
      </w:r>
      <w:r>
        <w:rPr>
          <w:rStyle w:val="A6"/>
          <w:color w:val="auto"/>
          <w:sz w:val="22"/>
          <w:szCs w:val="22"/>
        </w:rPr>
        <w:t xml:space="preserve">(SoCARB) indicator suite. SoCARB was developed in 2014 as a result of a research partnership between Columbia Basin Trust’s Communities Adapting to Climate Change Initiative and the RDI. It is a “made in the Basin-Boundary” approach to measuring progress in adapting to climate change.  </w:t>
      </w:r>
    </w:p>
    <w:p w:rsidR="006700CF" w:rsidRPr="002F553D" w:rsidRDefault="006700CF" w:rsidP="006700CF">
      <w:pPr>
        <w:pStyle w:val="Heading2"/>
        <w:rPr>
          <w:szCs w:val="28"/>
          <w:lang w:eastAsia="en-CA"/>
        </w:rPr>
      </w:pPr>
      <w:r w:rsidRPr="002F553D">
        <w:rPr>
          <w:szCs w:val="28"/>
          <w:lang w:eastAsia="en-CA"/>
        </w:rPr>
        <w:t>Guiding Questions</w:t>
      </w:r>
    </w:p>
    <w:p w:rsidR="006700CF" w:rsidRPr="00532D2F" w:rsidRDefault="00FF3CB2" w:rsidP="006700CF">
      <w:pPr>
        <w:pStyle w:val="ListParagraph"/>
        <w:numPr>
          <w:ilvl w:val="0"/>
          <w:numId w:val="12"/>
        </w:numPr>
        <w:rPr>
          <w:lang w:eastAsia="en-CA"/>
        </w:rPr>
      </w:pPr>
      <w:r>
        <w:rPr>
          <w:lang w:eastAsia="en-CA"/>
        </w:rPr>
        <w:t xml:space="preserve">How well are Basin-Boundary communities adapting to climate change? </w:t>
      </w:r>
    </w:p>
    <w:p w:rsidR="006700CF" w:rsidRPr="00532D2F" w:rsidRDefault="006700CF" w:rsidP="006700CF">
      <w:pPr>
        <w:pStyle w:val="ListParagraph"/>
        <w:numPr>
          <w:ilvl w:val="0"/>
          <w:numId w:val="0"/>
        </w:numPr>
        <w:ind w:left="720"/>
        <w:rPr>
          <w:lang w:eastAsia="en-CA"/>
        </w:rPr>
      </w:pPr>
    </w:p>
    <w:p w:rsidR="006700CF" w:rsidRPr="00532D2F" w:rsidRDefault="006700CF" w:rsidP="006700CF">
      <w:pPr>
        <w:pStyle w:val="ListParagraph"/>
        <w:numPr>
          <w:ilvl w:val="0"/>
          <w:numId w:val="0"/>
        </w:numPr>
        <w:ind w:left="720"/>
        <w:rPr>
          <w:i/>
          <w:lang w:eastAsia="en-CA"/>
        </w:rPr>
      </w:pPr>
      <w:r w:rsidRPr="00532D2F">
        <w:rPr>
          <w:i/>
          <w:lang w:eastAsia="en-CA"/>
        </w:rPr>
        <w:t>Deliverable</w:t>
      </w:r>
      <w:r w:rsidR="00FA13B2">
        <w:rPr>
          <w:i/>
          <w:lang w:eastAsia="en-CA"/>
        </w:rPr>
        <w:t>s</w:t>
      </w:r>
      <w:r w:rsidRPr="00532D2F">
        <w:rPr>
          <w:i/>
          <w:lang w:eastAsia="en-CA"/>
        </w:rPr>
        <w:t xml:space="preserve">: </w:t>
      </w:r>
      <w:r w:rsidR="00FA13B2">
        <w:rPr>
          <w:i/>
          <w:lang w:eastAsia="en-CA"/>
        </w:rPr>
        <w:t>Complete SoCARB a</w:t>
      </w:r>
      <w:r w:rsidR="004F59F2">
        <w:rPr>
          <w:i/>
          <w:lang w:eastAsia="en-CA"/>
        </w:rPr>
        <w:t>ssessments for pilot communities (</w:t>
      </w:r>
      <w:r w:rsidR="00FA13B2">
        <w:rPr>
          <w:i/>
          <w:lang w:eastAsia="en-CA"/>
        </w:rPr>
        <w:t>and other communities if the project p</w:t>
      </w:r>
      <w:r w:rsidR="004F59F2">
        <w:rPr>
          <w:i/>
          <w:lang w:eastAsia="en-CA"/>
        </w:rPr>
        <w:t>rogresses beyond the pilot phase), individual local government datasets.</w:t>
      </w:r>
      <w:r w:rsidR="00FA13B2">
        <w:rPr>
          <w:i/>
          <w:lang w:eastAsia="en-CA"/>
        </w:rPr>
        <w:t xml:space="preserve"> </w:t>
      </w:r>
    </w:p>
    <w:p w:rsidR="006700CF" w:rsidRPr="00532D2F" w:rsidRDefault="006700CF" w:rsidP="006700CF">
      <w:pPr>
        <w:pStyle w:val="ListParagraph"/>
        <w:numPr>
          <w:ilvl w:val="0"/>
          <w:numId w:val="0"/>
        </w:numPr>
        <w:ind w:left="720"/>
        <w:rPr>
          <w:lang w:eastAsia="en-CA"/>
        </w:rPr>
      </w:pPr>
    </w:p>
    <w:p w:rsidR="006700CF" w:rsidRPr="00532D2F" w:rsidRDefault="007967C3" w:rsidP="006700CF">
      <w:pPr>
        <w:pStyle w:val="ListParagraph"/>
        <w:numPr>
          <w:ilvl w:val="0"/>
          <w:numId w:val="12"/>
        </w:numPr>
        <w:rPr>
          <w:lang w:eastAsia="en-CA"/>
        </w:rPr>
      </w:pPr>
      <w:r>
        <w:rPr>
          <w:lang w:eastAsia="en-CA"/>
        </w:rPr>
        <w:t>What specific supports d</w:t>
      </w:r>
      <w:r w:rsidR="00FF3CB2">
        <w:rPr>
          <w:lang w:eastAsia="en-CA"/>
        </w:rPr>
        <w:t xml:space="preserve">o </w:t>
      </w:r>
      <w:r w:rsidR="0078775B">
        <w:rPr>
          <w:lang w:eastAsia="en-CA"/>
        </w:rPr>
        <w:t>communities</w:t>
      </w:r>
      <w:r w:rsidR="00FF3CB2">
        <w:rPr>
          <w:lang w:eastAsia="en-CA"/>
        </w:rPr>
        <w:t xml:space="preserve"> need to measure climate adaptation and implement research-based strategies for addressing climate-related risks to resilience?</w:t>
      </w:r>
    </w:p>
    <w:p w:rsidR="006700CF" w:rsidRPr="00532D2F" w:rsidRDefault="006700CF" w:rsidP="006700CF">
      <w:pPr>
        <w:pStyle w:val="ListParagraph"/>
        <w:numPr>
          <w:ilvl w:val="0"/>
          <w:numId w:val="0"/>
        </w:numPr>
        <w:ind w:left="720"/>
        <w:rPr>
          <w:lang w:eastAsia="en-CA"/>
        </w:rPr>
      </w:pPr>
    </w:p>
    <w:p w:rsidR="006700CF" w:rsidRPr="00532D2F" w:rsidRDefault="006700CF" w:rsidP="006700CF">
      <w:pPr>
        <w:pStyle w:val="ListParagraph"/>
        <w:numPr>
          <w:ilvl w:val="0"/>
          <w:numId w:val="0"/>
        </w:numPr>
        <w:ind w:left="720"/>
        <w:rPr>
          <w:lang w:eastAsia="en-CA"/>
        </w:rPr>
      </w:pPr>
      <w:r w:rsidRPr="00532D2F">
        <w:rPr>
          <w:i/>
          <w:lang w:eastAsia="en-CA"/>
        </w:rPr>
        <w:t>Deliverable</w:t>
      </w:r>
      <w:r w:rsidR="00FA13B2">
        <w:rPr>
          <w:i/>
          <w:lang w:eastAsia="en-CA"/>
        </w:rPr>
        <w:t>s</w:t>
      </w:r>
      <w:r w:rsidRPr="00532D2F">
        <w:rPr>
          <w:i/>
          <w:lang w:eastAsia="en-CA"/>
        </w:rPr>
        <w:t xml:space="preserve">: </w:t>
      </w:r>
      <w:r w:rsidR="007967C3">
        <w:rPr>
          <w:i/>
          <w:lang w:eastAsia="en-CA"/>
        </w:rPr>
        <w:t xml:space="preserve">Evaluation of the implementation process, </w:t>
      </w:r>
      <w:r w:rsidR="004F59F2">
        <w:rPr>
          <w:i/>
          <w:lang w:eastAsia="en-CA"/>
        </w:rPr>
        <w:t xml:space="preserve">action plan for addressing identified needs, </w:t>
      </w:r>
      <w:r w:rsidR="007967C3">
        <w:rPr>
          <w:i/>
          <w:lang w:eastAsia="en-CA"/>
        </w:rPr>
        <w:t>report on best practices for sustained climate adaptation at the local scale</w:t>
      </w:r>
      <w:r w:rsidR="004F59F2">
        <w:rPr>
          <w:i/>
          <w:lang w:eastAsia="en-CA"/>
        </w:rPr>
        <w:t>, established data management systems at pilot local governments.</w:t>
      </w:r>
      <w:r w:rsidR="007967C3">
        <w:rPr>
          <w:i/>
          <w:lang w:eastAsia="en-CA"/>
        </w:rPr>
        <w:t xml:space="preserve">  </w:t>
      </w:r>
    </w:p>
    <w:p w:rsidR="006700CF" w:rsidRPr="00532D2F" w:rsidRDefault="006700CF" w:rsidP="006700CF">
      <w:pPr>
        <w:pStyle w:val="ListParagraph"/>
        <w:numPr>
          <w:ilvl w:val="0"/>
          <w:numId w:val="0"/>
        </w:numPr>
        <w:ind w:left="720"/>
        <w:rPr>
          <w:lang w:eastAsia="en-CA"/>
        </w:rPr>
      </w:pPr>
    </w:p>
    <w:p w:rsidR="006700CF" w:rsidRPr="00532D2F" w:rsidRDefault="00FF3CB2" w:rsidP="006700CF">
      <w:pPr>
        <w:pStyle w:val="ListParagraph"/>
        <w:numPr>
          <w:ilvl w:val="0"/>
          <w:numId w:val="12"/>
        </w:numPr>
        <w:rPr>
          <w:lang w:eastAsia="en-CA"/>
        </w:rPr>
      </w:pPr>
      <w:r>
        <w:rPr>
          <w:lang w:eastAsia="en-CA"/>
        </w:rPr>
        <w:t xml:space="preserve">How can existing research products be refined and mobilized to best address these needs? </w:t>
      </w:r>
    </w:p>
    <w:p w:rsidR="006700CF" w:rsidRPr="00532D2F" w:rsidRDefault="006700CF" w:rsidP="006700CF">
      <w:pPr>
        <w:pStyle w:val="ListParagraph"/>
        <w:numPr>
          <w:ilvl w:val="0"/>
          <w:numId w:val="0"/>
        </w:numPr>
        <w:ind w:left="720"/>
        <w:rPr>
          <w:lang w:eastAsia="en-CA"/>
        </w:rPr>
      </w:pPr>
    </w:p>
    <w:p w:rsidR="006700CF" w:rsidRPr="00532D2F" w:rsidRDefault="006700CF" w:rsidP="00532D2F">
      <w:pPr>
        <w:pStyle w:val="ListParagraph"/>
        <w:numPr>
          <w:ilvl w:val="0"/>
          <w:numId w:val="0"/>
        </w:numPr>
        <w:ind w:left="720"/>
        <w:rPr>
          <w:i/>
          <w:lang w:eastAsia="en-CA"/>
        </w:rPr>
      </w:pPr>
      <w:r w:rsidRPr="00532D2F">
        <w:rPr>
          <w:i/>
          <w:lang w:eastAsia="en-CA"/>
        </w:rPr>
        <w:t>Deliverable</w:t>
      </w:r>
      <w:r w:rsidR="007967C3">
        <w:rPr>
          <w:i/>
          <w:lang w:eastAsia="en-CA"/>
        </w:rPr>
        <w:t>s</w:t>
      </w:r>
      <w:r w:rsidRPr="00532D2F">
        <w:rPr>
          <w:i/>
          <w:lang w:eastAsia="en-CA"/>
        </w:rPr>
        <w:t xml:space="preserve">: </w:t>
      </w:r>
      <w:r w:rsidR="007967C3">
        <w:rPr>
          <w:i/>
          <w:lang w:eastAsia="en-CA"/>
        </w:rPr>
        <w:t>Revisions to SoCARB to enhance feasibility of implementation, targeted guidance resources to facilitate uptake.</w:t>
      </w:r>
    </w:p>
    <w:p w:rsidR="006700CF" w:rsidRPr="002F553D" w:rsidRDefault="006700CF" w:rsidP="006700CF">
      <w:pPr>
        <w:pStyle w:val="Heading2"/>
        <w:ind w:left="142" w:hanging="142"/>
        <w:rPr>
          <w:sz w:val="24"/>
          <w:szCs w:val="24"/>
          <w:lang w:eastAsia="en-CA"/>
        </w:rPr>
      </w:pPr>
      <w:r w:rsidRPr="002F553D">
        <w:rPr>
          <w:sz w:val="24"/>
          <w:szCs w:val="24"/>
          <w:lang w:eastAsia="en-CA"/>
        </w:rPr>
        <w:t>Key Partners</w:t>
      </w:r>
      <w:r>
        <w:rPr>
          <w:sz w:val="24"/>
          <w:szCs w:val="24"/>
          <w:lang w:eastAsia="en-CA"/>
        </w:rPr>
        <w:t xml:space="preserve"> and Advisors</w:t>
      </w:r>
    </w:p>
    <w:p w:rsidR="00FF3CB2" w:rsidRDefault="00FF3CB2" w:rsidP="006700CF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Pilot local g</w:t>
      </w:r>
      <w:r w:rsidR="00D32E5B">
        <w:rPr>
          <w:rStyle w:val="A6"/>
          <w:color w:val="auto"/>
          <w:sz w:val="22"/>
          <w:szCs w:val="22"/>
        </w:rPr>
        <w:t xml:space="preserve">overnments (Kimberley &amp; </w:t>
      </w:r>
      <w:r>
        <w:rPr>
          <w:rStyle w:val="A6"/>
          <w:color w:val="auto"/>
          <w:sz w:val="22"/>
          <w:szCs w:val="22"/>
        </w:rPr>
        <w:t>Rossland</w:t>
      </w:r>
      <w:r w:rsidR="00D32E5B">
        <w:rPr>
          <w:rStyle w:val="A6"/>
          <w:color w:val="auto"/>
          <w:sz w:val="22"/>
          <w:szCs w:val="22"/>
        </w:rPr>
        <w:t xml:space="preserve"> [to be re-confirmed]</w:t>
      </w:r>
      <w:r>
        <w:rPr>
          <w:rStyle w:val="A6"/>
          <w:color w:val="auto"/>
          <w:sz w:val="22"/>
          <w:szCs w:val="22"/>
        </w:rPr>
        <w:t>, others as they emerge)</w:t>
      </w:r>
    </w:p>
    <w:p w:rsidR="00FF3CB2" w:rsidRDefault="00FF3CB2" w:rsidP="006700CF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Association of Kootenay Boundary Local Governments</w:t>
      </w:r>
    </w:p>
    <w:p w:rsidR="00FA13B2" w:rsidRDefault="00FA13B2" w:rsidP="006700CF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Selkirk College School of Environment and Geomatics</w:t>
      </w:r>
    </w:p>
    <w:p w:rsidR="00FA13B2" w:rsidRDefault="00FA13B2" w:rsidP="00FA13B2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Columbia Basin Trust</w:t>
      </w:r>
    </w:p>
    <w:p w:rsidR="00FA13B2" w:rsidRDefault="00FA13B2" w:rsidP="006700CF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Possible others:</w:t>
      </w:r>
      <w:r w:rsidR="008574BA">
        <w:rPr>
          <w:rStyle w:val="A6"/>
          <w:color w:val="auto"/>
          <w:sz w:val="22"/>
          <w:szCs w:val="22"/>
        </w:rPr>
        <w:t xml:space="preserve"> </w:t>
      </w:r>
      <w:r w:rsidR="00D32E5B">
        <w:rPr>
          <w:rStyle w:val="A6"/>
          <w:color w:val="auto"/>
          <w:sz w:val="22"/>
          <w:szCs w:val="22"/>
        </w:rPr>
        <w:t xml:space="preserve">Adaptation to Climate Change Team </w:t>
      </w:r>
      <w:r w:rsidR="008574BA">
        <w:rPr>
          <w:rStyle w:val="A6"/>
          <w:color w:val="auto"/>
          <w:sz w:val="22"/>
          <w:szCs w:val="22"/>
        </w:rPr>
        <w:t>(SFU)</w:t>
      </w:r>
      <w:r w:rsidR="00D32E5B">
        <w:rPr>
          <w:rStyle w:val="A6"/>
          <w:color w:val="auto"/>
          <w:sz w:val="22"/>
          <w:szCs w:val="22"/>
        </w:rPr>
        <w:t>, Pacific Institute for Climate Solutions (UVic)</w:t>
      </w:r>
    </w:p>
    <w:p w:rsidR="008574BA" w:rsidRDefault="008574BA" w:rsidP="006700CF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Rural Policy Learning Commons</w:t>
      </w:r>
    </w:p>
    <w:p w:rsidR="006700CF" w:rsidRPr="002F553D" w:rsidRDefault="006700CF" w:rsidP="006700CF">
      <w:pPr>
        <w:pStyle w:val="Heading2"/>
        <w:ind w:left="142" w:hanging="142"/>
        <w:rPr>
          <w:sz w:val="24"/>
          <w:szCs w:val="24"/>
          <w:lang w:eastAsia="en-CA"/>
        </w:rPr>
      </w:pPr>
      <w:r w:rsidRPr="002F553D">
        <w:rPr>
          <w:sz w:val="24"/>
          <w:szCs w:val="24"/>
          <w:lang w:eastAsia="en-CA"/>
        </w:rPr>
        <w:t>Project Activities</w:t>
      </w:r>
    </w:p>
    <w:p w:rsidR="002F5B55" w:rsidRDefault="002F5B55" w:rsidP="002F5B55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Phase 1:</w:t>
      </w:r>
    </w:p>
    <w:p w:rsidR="004F59F2" w:rsidRDefault="004F59F2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Assemble project working group</w:t>
      </w:r>
    </w:p>
    <w:p w:rsidR="006700CF" w:rsidRDefault="004F59F2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Confirm pilot local governments</w:t>
      </w:r>
    </w:p>
    <w:p w:rsidR="0078775B" w:rsidRDefault="0078775B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Establish community-specific steering committees</w:t>
      </w:r>
    </w:p>
    <w:p w:rsidR="004F59F2" w:rsidRDefault="004F59F2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Engage GIS co-op student to provide direct, on site data collection and management support to pilot local governments</w:t>
      </w:r>
    </w:p>
    <w:p w:rsidR="002F5B55" w:rsidRDefault="004F59F2" w:rsidP="002F5B55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lastRenderedPageBreak/>
        <w:t>Implement pilots by collecting data, establishing data-management systems, analyzing data, reporting on results and recording challenges experienced during the process</w:t>
      </w:r>
    </w:p>
    <w:p w:rsidR="002F5B55" w:rsidRPr="002F5B55" w:rsidRDefault="002F5B55" w:rsidP="002F5B55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Research and report on options for actions that could address areas of need as identified by assessmen</w:t>
      </w:r>
      <w:r w:rsidR="00D32E5B">
        <w:rPr>
          <w:rStyle w:val="A6"/>
          <w:color w:val="auto"/>
          <w:sz w:val="22"/>
          <w:szCs w:val="22"/>
        </w:rPr>
        <w:t>t results</w:t>
      </w:r>
    </w:p>
    <w:p w:rsidR="002F5B55" w:rsidRDefault="002F5B55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Share results of assessments with pilot local governments</w:t>
      </w:r>
    </w:p>
    <w:p w:rsidR="004F59F2" w:rsidRDefault="004F59F2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Evaluate implementation process and assess feasibility of expanding implementation to additional communities</w:t>
      </w:r>
    </w:p>
    <w:p w:rsidR="002F5B55" w:rsidRDefault="002F5B55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Based on results of evaluation, determine whether to continue with second phase of project</w:t>
      </w:r>
    </w:p>
    <w:p w:rsidR="002F5B55" w:rsidRDefault="002F5B55" w:rsidP="002F5B55">
      <w:pPr>
        <w:pStyle w:val="NoSpacing"/>
        <w:ind w:left="66"/>
        <w:rPr>
          <w:rStyle w:val="A6"/>
          <w:color w:val="auto"/>
          <w:sz w:val="22"/>
          <w:szCs w:val="22"/>
        </w:rPr>
      </w:pPr>
    </w:p>
    <w:p w:rsidR="002F5B55" w:rsidRDefault="002F5B55" w:rsidP="00956E76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Phase 2:</w:t>
      </w:r>
    </w:p>
    <w:p w:rsidR="004F59F2" w:rsidRDefault="004F59F2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Using evaluation results, revise SoCARB suite to enhance potential for wide-scale uptake</w:t>
      </w:r>
    </w:p>
    <w:p w:rsidR="004F59F2" w:rsidRDefault="002F5B55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Develop guidance resources to support implementation and use of assessment results</w:t>
      </w:r>
    </w:p>
    <w:p w:rsidR="002F5B55" w:rsidRDefault="002F5B55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Promote availability and utility of SoCARB to Basin-Boundary local governments</w:t>
      </w:r>
    </w:p>
    <w:p w:rsidR="002F5B55" w:rsidRPr="002F5B55" w:rsidRDefault="002F5B55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 xml:space="preserve">Engage additional co-op students to support implementation at Phase 2 local governments </w:t>
      </w:r>
    </w:p>
    <w:p w:rsidR="002F5B55" w:rsidRDefault="00946AA4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Track project success metrics, including uptake of SoCARB, use of guidance materials, and impact on action planning and implementation</w:t>
      </w:r>
    </w:p>
    <w:p w:rsidR="002F5B55" w:rsidRPr="00532D2F" w:rsidRDefault="002F5B55" w:rsidP="006700CF">
      <w:pPr>
        <w:pStyle w:val="NoSpacing"/>
        <w:numPr>
          <w:ilvl w:val="0"/>
          <w:numId w:val="13"/>
        </w:numPr>
        <w:ind w:left="426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 xml:space="preserve">Contingent on completion of a sufficient number of assessments, complete a series of regional reports focused on: 1) compiling results 2) documenting the experiences of a rural region in measuring climate adaptation and taking related action. </w:t>
      </w:r>
    </w:p>
    <w:p w:rsidR="006700CF" w:rsidRPr="002F553D" w:rsidRDefault="006700CF" w:rsidP="006700CF">
      <w:pPr>
        <w:pStyle w:val="Heading2"/>
        <w:ind w:left="142" w:hanging="142"/>
        <w:rPr>
          <w:szCs w:val="28"/>
          <w:lang w:eastAsia="en-CA"/>
        </w:rPr>
      </w:pPr>
      <w:r>
        <w:rPr>
          <w:szCs w:val="28"/>
          <w:lang w:eastAsia="en-CA"/>
        </w:rPr>
        <w:t>Timeline and Possible Funders</w:t>
      </w:r>
    </w:p>
    <w:p w:rsidR="00276DD1" w:rsidRDefault="00376282" w:rsidP="006700CF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>1 year to pilot, evaluate and refine the SoCARB suite. Depending on the results of the initial phase, another 1-2 years could be spent rolling out the projects to individual communities as they express interest in participating</w:t>
      </w:r>
      <w:r w:rsidR="002F5B55">
        <w:rPr>
          <w:rStyle w:val="A6"/>
          <w:color w:val="auto"/>
          <w:sz w:val="22"/>
          <w:szCs w:val="22"/>
        </w:rPr>
        <w:t>, and documenting results at the scale of the region</w:t>
      </w:r>
      <w:r>
        <w:rPr>
          <w:rStyle w:val="A6"/>
          <w:color w:val="auto"/>
          <w:sz w:val="22"/>
          <w:szCs w:val="22"/>
        </w:rPr>
        <w:t xml:space="preserve">. </w:t>
      </w:r>
      <w:r w:rsidR="00B44352">
        <w:rPr>
          <w:rStyle w:val="A6"/>
          <w:color w:val="auto"/>
          <w:sz w:val="22"/>
          <w:szCs w:val="22"/>
        </w:rPr>
        <w:t xml:space="preserve">The approach would be similar to that used for the Business Retention and Expansion Project. </w:t>
      </w:r>
    </w:p>
    <w:p w:rsidR="00CB4914" w:rsidRDefault="00CB4914" w:rsidP="006700CF">
      <w:pPr>
        <w:pStyle w:val="NoSpacing"/>
        <w:rPr>
          <w:rStyle w:val="A6"/>
          <w:color w:val="auto"/>
          <w:sz w:val="22"/>
          <w:szCs w:val="22"/>
        </w:rPr>
      </w:pPr>
    </w:p>
    <w:p w:rsidR="00D32E5B" w:rsidRDefault="00B44352" w:rsidP="006700CF">
      <w:pPr>
        <w:pStyle w:val="NoSpacing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 xml:space="preserve">The Real Estate Foundation of British Columbia often funds work intended to improve sustainability and resilience in communities. Applications to the next General Grant intake are due February 24, 2016. </w:t>
      </w:r>
    </w:p>
    <w:p w:rsidR="00CB4914" w:rsidRPr="00532D2F" w:rsidRDefault="00CB4914" w:rsidP="006700CF">
      <w:pPr>
        <w:pStyle w:val="NoSpacing"/>
        <w:rPr>
          <w:szCs w:val="22"/>
        </w:rPr>
      </w:pPr>
    </w:p>
    <w:sectPr w:rsidR="00CB4914" w:rsidRPr="00532D2F" w:rsidSect="00CF1B82">
      <w:pgSz w:w="12240" w:h="15840"/>
      <w:pgMar w:top="1440" w:right="1440" w:bottom="1440" w:left="1440" w:header="708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14" w:rsidRDefault="00B10A14" w:rsidP="00437BF1">
      <w:pPr>
        <w:spacing w:after="0" w:line="240" w:lineRule="auto"/>
      </w:pPr>
      <w:r>
        <w:separator/>
      </w:r>
    </w:p>
  </w:endnote>
  <w:endnote w:type="continuationSeparator" w:id="0">
    <w:p w:rsidR="00B10A14" w:rsidRDefault="00B10A14" w:rsidP="0043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14" w:rsidRDefault="00B10A14" w:rsidP="00437BF1">
      <w:pPr>
        <w:spacing w:after="0" w:line="240" w:lineRule="auto"/>
      </w:pPr>
      <w:r>
        <w:separator/>
      </w:r>
    </w:p>
  </w:footnote>
  <w:footnote w:type="continuationSeparator" w:id="0">
    <w:p w:rsidR="00B10A14" w:rsidRDefault="00B10A14" w:rsidP="0043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831"/>
    <w:multiLevelType w:val="hybridMultilevel"/>
    <w:tmpl w:val="F8ECF714"/>
    <w:lvl w:ilvl="0" w:tplc="36EA0A84"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03E1"/>
    <w:multiLevelType w:val="hybridMultilevel"/>
    <w:tmpl w:val="FDC63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F2"/>
    <w:multiLevelType w:val="hybridMultilevel"/>
    <w:tmpl w:val="801632C8"/>
    <w:lvl w:ilvl="0" w:tplc="777434A2">
      <w:start w:val="1"/>
      <w:numFmt w:val="decimal"/>
      <w:pStyle w:val="NumberedParagraph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CA4F05"/>
    <w:multiLevelType w:val="hybridMultilevel"/>
    <w:tmpl w:val="5AF4DD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35AA"/>
    <w:multiLevelType w:val="hybridMultilevel"/>
    <w:tmpl w:val="E43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091D"/>
    <w:multiLevelType w:val="hybridMultilevel"/>
    <w:tmpl w:val="AE160026"/>
    <w:lvl w:ilvl="0" w:tplc="453CA59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3C0A"/>
    <w:multiLevelType w:val="hybridMultilevel"/>
    <w:tmpl w:val="32C895B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7D3A16"/>
    <w:multiLevelType w:val="hybridMultilevel"/>
    <w:tmpl w:val="5CBC1F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400F44"/>
    <w:multiLevelType w:val="hybridMultilevel"/>
    <w:tmpl w:val="CED40F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71FF0"/>
    <w:multiLevelType w:val="hybridMultilevel"/>
    <w:tmpl w:val="C56A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08EE"/>
    <w:multiLevelType w:val="hybridMultilevel"/>
    <w:tmpl w:val="76D42738"/>
    <w:lvl w:ilvl="0" w:tplc="2A58C03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CC3FFC"/>
    <w:multiLevelType w:val="hybridMultilevel"/>
    <w:tmpl w:val="AAECB334"/>
    <w:lvl w:ilvl="0" w:tplc="453CA59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2"/>
    <w:rsid w:val="000353D6"/>
    <w:rsid w:val="000550CE"/>
    <w:rsid w:val="000D5CA1"/>
    <w:rsid w:val="00211D83"/>
    <w:rsid w:val="002162BA"/>
    <w:rsid w:val="0025586D"/>
    <w:rsid w:val="00263423"/>
    <w:rsid w:val="00276DD1"/>
    <w:rsid w:val="00277029"/>
    <w:rsid w:val="002B7014"/>
    <w:rsid w:val="002C4EA0"/>
    <w:rsid w:val="002D6157"/>
    <w:rsid w:val="002F22EE"/>
    <w:rsid w:val="002F5B55"/>
    <w:rsid w:val="003015BA"/>
    <w:rsid w:val="00324793"/>
    <w:rsid w:val="00370C14"/>
    <w:rsid w:val="00376282"/>
    <w:rsid w:val="003A22E2"/>
    <w:rsid w:val="003E6A82"/>
    <w:rsid w:val="00437BF1"/>
    <w:rsid w:val="004F59F2"/>
    <w:rsid w:val="00532D2F"/>
    <w:rsid w:val="00570D31"/>
    <w:rsid w:val="00590FE2"/>
    <w:rsid w:val="005C561F"/>
    <w:rsid w:val="006009AE"/>
    <w:rsid w:val="00620DC7"/>
    <w:rsid w:val="006700CF"/>
    <w:rsid w:val="006F1E78"/>
    <w:rsid w:val="0078775B"/>
    <w:rsid w:val="007967C3"/>
    <w:rsid w:val="007C40FC"/>
    <w:rsid w:val="007D1207"/>
    <w:rsid w:val="007F04F7"/>
    <w:rsid w:val="00847EE7"/>
    <w:rsid w:val="008574BA"/>
    <w:rsid w:val="00925BBB"/>
    <w:rsid w:val="0094268B"/>
    <w:rsid w:val="00946AA4"/>
    <w:rsid w:val="00956E76"/>
    <w:rsid w:val="009576DD"/>
    <w:rsid w:val="009766A4"/>
    <w:rsid w:val="00A03131"/>
    <w:rsid w:val="00A10196"/>
    <w:rsid w:val="00B10A14"/>
    <w:rsid w:val="00B43EBA"/>
    <w:rsid w:val="00B44352"/>
    <w:rsid w:val="00B65C21"/>
    <w:rsid w:val="00BC7ECD"/>
    <w:rsid w:val="00C20076"/>
    <w:rsid w:val="00C57ED8"/>
    <w:rsid w:val="00C83C6E"/>
    <w:rsid w:val="00CB4914"/>
    <w:rsid w:val="00CD4F16"/>
    <w:rsid w:val="00CF1B82"/>
    <w:rsid w:val="00D20E31"/>
    <w:rsid w:val="00D27781"/>
    <w:rsid w:val="00D32E5B"/>
    <w:rsid w:val="00D62CAA"/>
    <w:rsid w:val="00E002CE"/>
    <w:rsid w:val="00E20B7E"/>
    <w:rsid w:val="00E25928"/>
    <w:rsid w:val="00F23CC2"/>
    <w:rsid w:val="00F52B24"/>
    <w:rsid w:val="00F93FC3"/>
    <w:rsid w:val="00F94BF0"/>
    <w:rsid w:val="00F95BF1"/>
    <w:rsid w:val="00FA13B2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A25F87-8E64-4274-B383-A3810B4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31"/>
  </w:style>
  <w:style w:type="paragraph" w:styleId="Heading1">
    <w:name w:val="heading 1"/>
    <w:basedOn w:val="Normal"/>
    <w:next w:val="Normal"/>
    <w:link w:val="Heading1Char"/>
    <w:uiPriority w:val="9"/>
    <w:qFormat/>
    <w:rsid w:val="009766A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mallCaps/>
      <w:color w:val="7A9A01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7BF1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mallCaps/>
      <w:color w:val="819909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66A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smallCaps/>
      <w:color w:val="7A9A01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7BF1"/>
    <w:pPr>
      <w:keepNext/>
      <w:keepLines/>
      <w:spacing w:before="200" w:after="0"/>
      <w:outlineLvl w:val="3"/>
    </w:pPr>
    <w:rPr>
      <w:rFonts w:ascii="Calibri" w:eastAsiaTheme="majorEastAsia" w:hAnsi="Calibri" w:cstheme="majorBidi"/>
      <w:bCs/>
      <w:i/>
      <w:iCs/>
      <w:color w:val="81990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6A4"/>
    <w:rPr>
      <w:rFonts w:ascii="Calibri" w:eastAsiaTheme="majorEastAsia" w:hAnsi="Calibri" w:cstheme="majorBidi"/>
      <w:b/>
      <w:smallCaps/>
      <w:color w:val="7A9A01" w:themeColor="accent1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561F"/>
    <w:pPr>
      <w:spacing w:after="300" w:line="240" w:lineRule="auto"/>
      <w:contextualSpacing/>
    </w:pPr>
    <w:rPr>
      <w:rFonts w:ascii="Calibri" w:eastAsiaTheme="majorEastAsia" w:hAnsi="Calibri" w:cstheme="majorBidi"/>
      <w:smallCaps/>
      <w:color w:val="819909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61F"/>
    <w:rPr>
      <w:rFonts w:ascii="Calibri" w:eastAsiaTheme="majorEastAsia" w:hAnsi="Calibri" w:cstheme="majorBidi"/>
      <w:smallCaps/>
      <w:color w:val="819909" w:themeColor="tex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0"/>
    <w:qFormat/>
    <w:rsid w:val="00B43EBA"/>
    <w:pPr>
      <w:numPr>
        <w:ilvl w:val="1"/>
      </w:numPr>
    </w:pPr>
    <w:rPr>
      <w:rFonts w:ascii="Calibri" w:eastAsiaTheme="majorEastAsia" w:hAnsi="Calibri" w:cstheme="majorBidi"/>
      <w:i/>
      <w:iCs/>
      <w:smallCaps/>
      <w:color w:val="757070" w:themeColor="background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B43EBA"/>
    <w:rPr>
      <w:rFonts w:ascii="Calibri" w:eastAsiaTheme="majorEastAsia" w:hAnsi="Calibri" w:cstheme="majorBidi"/>
      <w:i/>
      <w:iCs/>
      <w:smallCaps/>
      <w:color w:val="757070" w:themeColor="background2"/>
      <w:spacing w:val="15"/>
      <w:sz w:val="28"/>
      <w:szCs w:val="24"/>
    </w:rPr>
  </w:style>
  <w:style w:type="character" w:styleId="Hyperlink">
    <w:name w:val="Hyperlink"/>
    <w:uiPriority w:val="99"/>
    <w:rsid w:val="00F23C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7BF1"/>
    <w:rPr>
      <w:rFonts w:ascii="Calibri" w:eastAsiaTheme="majorEastAsia" w:hAnsi="Calibri" w:cstheme="majorBidi"/>
      <w:b/>
      <w:bCs/>
      <w:smallCaps/>
      <w:color w:val="819909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66A4"/>
    <w:rPr>
      <w:rFonts w:ascii="Calibri" w:eastAsiaTheme="majorEastAsia" w:hAnsi="Calibri" w:cstheme="majorBidi"/>
      <w:bCs/>
      <w:smallCaps/>
      <w:color w:val="7A9A01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7BF1"/>
    <w:rPr>
      <w:rFonts w:ascii="Calibri" w:eastAsiaTheme="majorEastAsia" w:hAnsi="Calibri" w:cstheme="majorBidi"/>
      <w:bCs/>
      <w:i/>
      <w:iCs/>
      <w:color w:val="819909" w:themeColor="text2"/>
    </w:rPr>
  </w:style>
  <w:style w:type="paragraph" w:customStyle="1" w:styleId="NonTOCHeading">
    <w:name w:val="Non TOC Heading"/>
    <w:basedOn w:val="Normal"/>
    <w:next w:val="Normal"/>
    <w:uiPriority w:val="1"/>
    <w:qFormat/>
    <w:rsid w:val="009766A4"/>
    <w:pPr>
      <w:spacing w:before="240" w:after="0"/>
    </w:pPr>
    <w:rPr>
      <w:b/>
      <w:smallCaps/>
      <w:color w:val="7A9A01" w:themeColor="accent1"/>
      <w:sz w:val="36"/>
    </w:rPr>
  </w:style>
  <w:style w:type="paragraph" w:styleId="TOCHeading">
    <w:name w:val="TOC Heading"/>
    <w:basedOn w:val="NonTOCHeading"/>
    <w:next w:val="Normal"/>
    <w:uiPriority w:val="39"/>
    <w:unhideWhenUsed/>
    <w:rsid w:val="00276DD1"/>
    <w:pPr>
      <w:spacing w:before="480" w:line="276" w:lineRule="auto"/>
    </w:pPr>
    <w:rPr>
      <w:rFonts w:ascii="Calibri" w:hAnsi="Calibri"/>
      <w:bCs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37BF1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276DD1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437BF1"/>
  </w:style>
  <w:style w:type="paragraph" w:styleId="Footer">
    <w:name w:val="footer"/>
    <w:basedOn w:val="Normal"/>
    <w:link w:val="FooterChar"/>
    <w:uiPriority w:val="99"/>
    <w:unhideWhenUsed/>
    <w:rsid w:val="0043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F1"/>
  </w:style>
  <w:style w:type="paragraph" w:customStyle="1" w:styleId="FooterText">
    <w:name w:val="Footer Text"/>
    <w:basedOn w:val="Normal"/>
    <w:uiPriority w:val="10"/>
    <w:qFormat/>
    <w:rsid w:val="00B43EBA"/>
    <w:pPr>
      <w:spacing w:after="0"/>
    </w:pPr>
    <w:rPr>
      <w:i/>
      <w:color w:val="757070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0550CE"/>
    <w:rPr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0550CE"/>
    <w:pPr>
      <w:spacing w:after="200" w:line="240" w:lineRule="auto"/>
    </w:pPr>
    <w:rPr>
      <w:b/>
      <w:bCs/>
      <w:color w:val="000000" w:themeColor="text1"/>
      <w:sz w:val="20"/>
      <w:szCs w:val="18"/>
    </w:rPr>
  </w:style>
  <w:style w:type="paragraph" w:customStyle="1" w:styleId="Figure">
    <w:name w:val="Figure"/>
    <w:basedOn w:val="Normal"/>
    <w:rsid w:val="000550CE"/>
    <w:rPr>
      <w:noProof/>
      <w:lang w:eastAsia="en-CA"/>
    </w:rPr>
  </w:style>
  <w:style w:type="table" w:styleId="LightList-Accent3">
    <w:name w:val="Light List Accent 3"/>
    <w:basedOn w:val="TableNormal"/>
    <w:uiPriority w:val="61"/>
    <w:rsid w:val="00C83C6E"/>
    <w:pPr>
      <w:spacing w:after="0" w:line="240" w:lineRule="auto"/>
    </w:pPr>
    <w:rPr>
      <w:rFonts w:ascii="Calibri" w:hAnsi="Calibri" w:cs="Times New Roman"/>
      <w:szCs w:val="20"/>
    </w:rPr>
    <w:tblPr>
      <w:tblStyleRowBandSize w:val="1"/>
      <w:tblStyleColBandSize w:val="1"/>
      <w:tblBorders>
        <w:top w:val="single" w:sz="8" w:space="0" w:color="E0AA0F" w:themeColor="accent3"/>
        <w:left w:val="single" w:sz="8" w:space="0" w:color="E0AA0F" w:themeColor="accent3"/>
        <w:bottom w:val="single" w:sz="8" w:space="0" w:color="E0AA0F" w:themeColor="accent3"/>
        <w:right w:val="single" w:sz="8" w:space="0" w:color="E0AA0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AA0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AA0F" w:themeColor="accent3"/>
          <w:left w:val="single" w:sz="8" w:space="0" w:color="E0AA0F" w:themeColor="accent3"/>
          <w:bottom w:val="single" w:sz="8" w:space="0" w:color="E0AA0F" w:themeColor="accent3"/>
          <w:right w:val="single" w:sz="8" w:space="0" w:color="E0AA0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AA0F" w:themeColor="accent3"/>
          <w:left w:val="single" w:sz="8" w:space="0" w:color="E0AA0F" w:themeColor="accent3"/>
          <w:bottom w:val="single" w:sz="8" w:space="0" w:color="E0AA0F" w:themeColor="accent3"/>
          <w:right w:val="single" w:sz="8" w:space="0" w:color="E0AA0F" w:themeColor="accent3"/>
        </w:tcBorders>
      </w:tcPr>
    </w:tblStylePr>
    <w:tblStylePr w:type="band1Horz">
      <w:tblPr/>
      <w:tcPr>
        <w:tcBorders>
          <w:top w:val="single" w:sz="8" w:space="0" w:color="E0AA0F" w:themeColor="accent3"/>
          <w:left w:val="single" w:sz="8" w:space="0" w:color="E0AA0F" w:themeColor="accent3"/>
          <w:bottom w:val="single" w:sz="8" w:space="0" w:color="E0AA0F" w:themeColor="accent3"/>
          <w:right w:val="single" w:sz="8" w:space="0" w:color="E0AA0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D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20E31"/>
    <w:pPr>
      <w:numPr>
        <w:numId w:val="1"/>
      </w:numPr>
      <w:ind w:left="1080"/>
      <w:contextualSpacing/>
    </w:pPr>
  </w:style>
  <w:style w:type="table" w:styleId="TableGrid">
    <w:name w:val="Table Grid"/>
    <w:basedOn w:val="TableNormal"/>
    <w:uiPriority w:val="39"/>
    <w:rsid w:val="00C5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graph">
    <w:name w:val="Numbered Paragraph"/>
    <w:basedOn w:val="ListParagraph"/>
    <w:uiPriority w:val="34"/>
    <w:qFormat/>
    <w:rsid w:val="00D20E31"/>
    <w:pPr>
      <w:numPr>
        <w:numId w:val="2"/>
      </w:numPr>
      <w:ind w:left="1080"/>
    </w:pPr>
  </w:style>
  <w:style w:type="table" w:styleId="LightList-Accent1">
    <w:name w:val="Light List Accent 1"/>
    <w:basedOn w:val="TableNormal"/>
    <w:uiPriority w:val="61"/>
    <w:rsid w:val="00C83C6E"/>
    <w:pPr>
      <w:spacing w:after="0" w:line="240" w:lineRule="auto"/>
    </w:pPr>
    <w:tblPr>
      <w:tblStyleRowBandSize w:val="1"/>
      <w:tblStyleColBandSize w:val="1"/>
      <w:tblBorders>
        <w:top w:val="single" w:sz="8" w:space="0" w:color="7A9A01" w:themeColor="accent1"/>
        <w:left w:val="single" w:sz="8" w:space="0" w:color="7A9A01" w:themeColor="accent1"/>
        <w:bottom w:val="single" w:sz="8" w:space="0" w:color="7A9A01" w:themeColor="accent1"/>
        <w:right w:val="single" w:sz="8" w:space="0" w:color="7A9A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A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A01" w:themeColor="accent1"/>
          <w:left w:val="single" w:sz="8" w:space="0" w:color="7A9A01" w:themeColor="accent1"/>
          <w:bottom w:val="single" w:sz="8" w:space="0" w:color="7A9A01" w:themeColor="accent1"/>
          <w:right w:val="single" w:sz="8" w:space="0" w:color="7A9A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A01" w:themeColor="accent1"/>
          <w:left w:val="single" w:sz="8" w:space="0" w:color="7A9A01" w:themeColor="accent1"/>
          <w:bottom w:val="single" w:sz="8" w:space="0" w:color="7A9A01" w:themeColor="accent1"/>
          <w:right w:val="single" w:sz="8" w:space="0" w:color="7A9A01" w:themeColor="accent1"/>
        </w:tcBorders>
      </w:tcPr>
    </w:tblStylePr>
    <w:tblStylePr w:type="band1Horz">
      <w:tblPr/>
      <w:tcPr>
        <w:tcBorders>
          <w:top w:val="single" w:sz="8" w:space="0" w:color="7A9A01" w:themeColor="accent1"/>
          <w:left w:val="single" w:sz="8" w:space="0" w:color="7A9A01" w:themeColor="accent1"/>
          <w:bottom w:val="single" w:sz="8" w:space="0" w:color="7A9A01" w:themeColor="accent1"/>
          <w:right w:val="single" w:sz="8" w:space="0" w:color="7A9A01" w:themeColor="accen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83C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3C6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C83C6E"/>
    <w:pPr>
      <w:spacing w:after="0"/>
    </w:pPr>
  </w:style>
  <w:style w:type="paragraph" w:styleId="BodyText">
    <w:name w:val="Body Text"/>
    <w:basedOn w:val="Normal"/>
    <w:link w:val="BodyTextChar"/>
    <w:rsid w:val="0025586D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558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umberedlist">
    <w:name w:val="Numbered list"/>
    <w:basedOn w:val="Normal"/>
    <w:rsid w:val="0025586D"/>
    <w:pPr>
      <w:numPr>
        <w:numId w:val="3"/>
      </w:num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BodyText"/>
    <w:link w:val="BlockTextChar"/>
    <w:rsid w:val="0025586D"/>
    <w:pPr>
      <w:ind w:firstLine="0"/>
    </w:pPr>
  </w:style>
  <w:style w:type="character" w:customStyle="1" w:styleId="BlockTextChar">
    <w:name w:val="Block Text Char"/>
    <w:link w:val="BlockText"/>
    <w:rsid w:val="002558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ference">
    <w:name w:val="Reference"/>
    <w:basedOn w:val="BodyText"/>
    <w:rsid w:val="0025586D"/>
    <w:pPr>
      <w:ind w:left="547" w:hanging="547"/>
    </w:pPr>
  </w:style>
  <w:style w:type="paragraph" w:styleId="Quote">
    <w:name w:val="Quote"/>
    <w:basedOn w:val="Normal"/>
    <w:next w:val="Normal"/>
    <w:link w:val="QuoteChar"/>
    <w:uiPriority w:val="29"/>
    <w:qFormat/>
    <w:rsid w:val="00CD4F16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4F1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94BF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700CF"/>
    <w:pPr>
      <w:spacing w:after="0" w:line="240" w:lineRule="auto"/>
    </w:pPr>
    <w:rPr>
      <w:rFonts w:eastAsiaTheme="minorEastAsia"/>
      <w:szCs w:val="24"/>
      <w:lang w:val="en-US"/>
    </w:rPr>
  </w:style>
  <w:style w:type="character" w:customStyle="1" w:styleId="A6">
    <w:name w:val="A6"/>
    <w:uiPriority w:val="99"/>
    <w:rsid w:val="006700CF"/>
    <w:rPr>
      <w:color w:val="4C4C4E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5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rdi.ca/climatechangeadaptation/" TargetMode="External"/></Relationships>
</file>

<file path=word/theme/theme1.xml><?xml version="1.0" encoding="utf-8"?>
<a:theme xmlns:a="http://schemas.openxmlformats.org/drawingml/2006/main" name="Theme1">
  <a:themeElements>
    <a:clrScheme name="Custom 12">
      <a:dk1>
        <a:sysClr val="windowText" lastClr="000000"/>
      </a:dk1>
      <a:lt1>
        <a:sysClr val="window" lastClr="FFFFFF"/>
      </a:lt1>
      <a:dk2>
        <a:srgbClr val="819909"/>
      </a:dk2>
      <a:lt2>
        <a:srgbClr val="757070"/>
      </a:lt2>
      <a:accent1>
        <a:srgbClr val="7A9A01"/>
      </a:accent1>
      <a:accent2>
        <a:srgbClr val="004C97"/>
      </a:accent2>
      <a:accent3>
        <a:srgbClr val="E0AA0F"/>
      </a:accent3>
      <a:accent4>
        <a:srgbClr val="A1561C"/>
      </a:accent4>
      <a:accent5>
        <a:srgbClr val="6F263D"/>
      </a:accent5>
      <a:accent6>
        <a:srgbClr val="009CDE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E288-6190-4599-8099-52C12407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Rethoret</dc:creator>
  <cp:lastModifiedBy>Kim Rowe</cp:lastModifiedBy>
  <cp:revision>2</cp:revision>
  <dcterms:created xsi:type="dcterms:W3CDTF">2017-02-01T22:27:00Z</dcterms:created>
  <dcterms:modified xsi:type="dcterms:W3CDTF">2017-02-01T22:27:00Z</dcterms:modified>
</cp:coreProperties>
</file>