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67D7C" w14:textId="6B43B98C" w:rsidR="00E338DA" w:rsidRDefault="00A1594B" w:rsidP="00E338DA">
      <w:pPr>
        <w:pStyle w:val="Title"/>
      </w:pPr>
      <w:bookmarkStart w:id="0" w:name="_GoBack"/>
      <w:bookmarkEnd w:id="0"/>
      <w:r w:rsidRPr="00A1594B">
        <w:rPr>
          <w:noProof/>
          <w:lang w:eastAsia="en-CA"/>
        </w:rPr>
        <w:drawing>
          <wp:anchor distT="0" distB="0" distL="114300" distR="114300" simplePos="0" relativeHeight="251658240" behindDoc="0" locked="0" layoutInCell="1" allowOverlap="1" wp14:anchorId="2F7FF3CC" wp14:editId="5AB89A39">
            <wp:simplePos x="0" y="0"/>
            <wp:positionH relativeFrom="column">
              <wp:posOffset>4365625</wp:posOffset>
            </wp:positionH>
            <wp:positionV relativeFrom="paragraph">
              <wp:posOffset>-158115</wp:posOffset>
            </wp:positionV>
            <wp:extent cx="1933575" cy="904875"/>
            <wp:effectExtent l="0" t="0" r="9525" b="9525"/>
            <wp:wrapSquare wrapText="bothSides"/>
            <wp:docPr id="1" name="Picture 1" descr="temp%2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2Dlogo-1.png"/>
                    <pic:cNvPicPr>
                      <a:picLocks noChangeAspect="1" noChangeArrowheads="1"/>
                    </pic:cNvPicPr>
                  </pic:nvPicPr>
                  <pic:blipFill>
                    <a:blip r:embed="rId8" cstate="print">
                      <a:extLst>
                        <a:ext uri="{28A0092B-C50C-407E-A947-70E740481C1C}">
                          <a14:useLocalDpi xmlns:a14="http://schemas.microsoft.com/office/drawing/2010/main" val="0"/>
                        </a:ext>
                      </a:extLst>
                    </a:blip>
                    <a:srcRect l="4973" r="7196" b="8125"/>
                    <a:stretch>
                      <a:fillRect/>
                    </a:stretch>
                  </pic:blipFill>
                  <pic:spPr bwMode="auto">
                    <a:xfrm>
                      <a:off x="0" y="0"/>
                      <a:ext cx="19335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6F8">
        <w:t xml:space="preserve">The Digital Basin </w:t>
      </w:r>
    </w:p>
    <w:p w14:paraId="5158D6E9" w14:textId="3DB8C699" w:rsidR="00E338DA" w:rsidRPr="00910EFB" w:rsidRDefault="006D56F8" w:rsidP="00E338DA">
      <w:pPr>
        <w:pStyle w:val="Title"/>
      </w:pPr>
      <w:r>
        <w:rPr>
          <w:rStyle w:val="SubtitleChar"/>
        </w:rPr>
        <w:t>Assets &amp; Indictors Decision-making Brief</w:t>
      </w:r>
    </w:p>
    <w:p w14:paraId="583992D1" w14:textId="3B18347B" w:rsidR="00C3313B" w:rsidRDefault="006D56F8" w:rsidP="000F0878">
      <w:pPr>
        <w:pStyle w:val="Heading2"/>
        <w:rPr>
          <w:rFonts w:eastAsia="Times New Roman"/>
          <w:lang w:eastAsia="en-CA"/>
        </w:rPr>
      </w:pPr>
      <w:r>
        <w:rPr>
          <w:rFonts w:eastAsia="Times New Roman"/>
          <w:lang w:eastAsia="en-CA"/>
        </w:rPr>
        <w:t>Digital Basin</w:t>
      </w:r>
    </w:p>
    <w:p w14:paraId="02142045" w14:textId="2AA22555" w:rsidR="006D56F8" w:rsidRPr="00B5738B" w:rsidRDefault="006D56F8" w:rsidP="006D56F8">
      <w:pPr>
        <w:rPr>
          <w:rFonts w:ascii="Calibri" w:hAnsi="Calibri"/>
          <w:sz w:val="20"/>
          <w:szCs w:val="20"/>
        </w:rPr>
      </w:pPr>
      <w:r>
        <w:rPr>
          <w:rFonts w:ascii="Calibri" w:hAnsi="Calibri"/>
          <w:sz w:val="20"/>
          <w:szCs w:val="20"/>
        </w:rPr>
        <w:t>In an effort to provide access to current data relevant to Basin-Boundary decision makers, the RDI and Selkirk Geospatial Research Centre (SGRC) worked together for two years to create one of the most complex web mapping applications ever attempted in Western Canada in both the range of information layers provided and the forms of information made available, including tables, charts, ‘Trends Analysis’ reports and interactive maps. The Digital Basin, released in May 2014, now houses over 100 asset and indicator data layers, including data obtained from local governments, non-profit organizations, and researchers working across the Basin-Boundary region.  The framework of the Digital Basin is based on the 4 pillars of well-being (economic, social, cultural, environmental) and 16 indicator thematic areas.</w:t>
      </w:r>
    </w:p>
    <w:p w14:paraId="5BAC3281" w14:textId="77777777" w:rsidR="006D56F8" w:rsidRPr="006D56F8" w:rsidRDefault="006D56F8" w:rsidP="006D56F8">
      <w:pPr>
        <w:pStyle w:val="Heading2"/>
        <w:rPr>
          <w:rFonts w:eastAsia="Times New Roman"/>
          <w:lang w:eastAsia="en-CA"/>
        </w:rPr>
      </w:pPr>
      <w:r w:rsidRPr="006D56F8">
        <w:rPr>
          <w:rFonts w:eastAsia="Times New Roman"/>
          <w:lang w:eastAsia="en-CA"/>
        </w:rPr>
        <w:t xml:space="preserve">Future Development Approach </w:t>
      </w:r>
    </w:p>
    <w:p w14:paraId="383BECC5" w14:textId="781A55C7" w:rsidR="006D56F8" w:rsidRPr="00B5738B" w:rsidRDefault="006D56F8" w:rsidP="006D56F8">
      <w:pPr>
        <w:rPr>
          <w:rFonts w:ascii="Calibri" w:hAnsi="Calibri"/>
          <w:sz w:val="20"/>
          <w:szCs w:val="20"/>
        </w:rPr>
      </w:pPr>
      <w:r w:rsidRPr="00B5738B">
        <w:rPr>
          <w:rFonts w:ascii="Calibri" w:hAnsi="Calibri"/>
          <w:sz w:val="20"/>
          <w:szCs w:val="20"/>
        </w:rPr>
        <w:t xml:space="preserve">The RDI </w:t>
      </w:r>
      <w:r>
        <w:rPr>
          <w:rFonts w:ascii="Calibri" w:hAnsi="Calibri"/>
          <w:sz w:val="20"/>
          <w:szCs w:val="20"/>
        </w:rPr>
        <w:t xml:space="preserve">and SGRC teams will work together to ensure existing data layers remain up-to-date and the Digital Basin tool is maintained.  Any future development to the functionality of the Digital Basin tool will be based on a rationale supported by Digital Basin users.  Any plans for significant development upgrades to the tool will be done in consultation with Columbia Basin Trust.  It is anticipated that new datasets will become available, some of which should be added to the Digital Basin.  It is also recognized that not all new datasets need to be available to the diverse audience that the RDI anticipates will use the Digital Basin.  The following process outlines future decision-making related to the addition of new asset and indicator data layers to the Digital Basin tool. </w:t>
      </w:r>
    </w:p>
    <w:p w14:paraId="6DF71AF4" w14:textId="018923EE" w:rsidR="006D56F8" w:rsidRPr="006D56F8" w:rsidRDefault="006D56F8" w:rsidP="006D56F8">
      <w:pPr>
        <w:pStyle w:val="Heading2"/>
        <w:rPr>
          <w:rFonts w:eastAsia="Times New Roman"/>
          <w:lang w:eastAsia="en-CA"/>
        </w:rPr>
      </w:pPr>
      <w:r w:rsidRPr="006D56F8">
        <w:rPr>
          <w:rFonts w:eastAsia="Times New Roman"/>
          <w:bCs w:val="0"/>
          <w:smallCaps w:val="0"/>
          <w:lang w:eastAsia="en-CA"/>
        </w:rPr>
        <w:t>Process</w:t>
      </w:r>
    </w:p>
    <w:p w14:paraId="3BD1F73B" w14:textId="77777777" w:rsidR="006D56F8" w:rsidRPr="00B5738B" w:rsidRDefault="006D56F8" w:rsidP="006D56F8">
      <w:pPr>
        <w:pStyle w:val="ListParagraph"/>
        <w:numPr>
          <w:ilvl w:val="0"/>
          <w:numId w:val="20"/>
        </w:numPr>
        <w:spacing w:after="0" w:line="240" w:lineRule="auto"/>
        <w:ind w:left="567"/>
        <w:rPr>
          <w:rFonts w:ascii="Calibri" w:hAnsi="Calibri"/>
          <w:sz w:val="20"/>
          <w:szCs w:val="20"/>
        </w:rPr>
      </w:pPr>
      <w:r>
        <w:rPr>
          <w:rFonts w:ascii="Calibri" w:hAnsi="Calibri"/>
          <w:sz w:val="20"/>
          <w:szCs w:val="20"/>
        </w:rPr>
        <w:t>Researcher responsible for each indicator thematic area identifies new potential datasets that could fill an identified data gap or replace an existing data layer (an improved dataset for an existing layer).</w:t>
      </w:r>
    </w:p>
    <w:p w14:paraId="01065E31" w14:textId="281E8DFB" w:rsidR="006D56F8" w:rsidRDefault="006D56F8" w:rsidP="006D56F8">
      <w:pPr>
        <w:pStyle w:val="ListParagraph"/>
        <w:numPr>
          <w:ilvl w:val="0"/>
          <w:numId w:val="20"/>
        </w:numPr>
        <w:spacing w:after="0" w:line="240" w:lineRule="auto"/>
        <w:ind w:left="567"/>
        <w:rPr>
          <w:rFonts w:ascii="Calibri" w:hAnsi="Calibri"/>
          <w:sz w:val="20"/>
          <w:szCs w:val="20"/>
        </w:rPr>
      </w:pPr>
      <w:r>
        <w:rPr>
          <w:rFonts w:ascii="Calibri" w:hAnsi="Calibri"/>
          <w:sz w:val="20"/>
          <w:szCs w:val="20"/>
        </w:rPr>
        <w:t>Researcher consults with Selkirk Geospatial Research Centre (SGRC) to determine the cost to upload data layer to the Digital Basin tool.</w:t>
      </w:r>
    </w:p>
    <w:p w14:paraId="6C58236A" w14:textId="77777777" w:rsidR="006D56F8" w:rsidRPr="00B5738B" w:rsidRDefault="006D56F8" w:rsidP="006D56F8">
      <w:pPr>
        <w:pStyle w:val="ListParagraph"/>
        <w:numPr>
          <w:ilvl w:val="0"/>
          <w:numId w:val="20"/>
        </w:numPr>
        <w:spacing w:after="0" w:line="240" w:lineRule="auto"/>
        <w:ind w:left="567"/>
        <w:rPr>
          <w:rFonts w:ascii="Calibri" w:hAnsi="Calibri"/>
          <w:sz w:val="20"/>
          <w:szCs w:val="20"/>
        </w:rPr>
      </w:pPr>
      <w:r>
        <w:rPr>
          <w:rFonts w:ascii="Calibri" w:hAnsi="Calibri"/>
          <w:sz w:val="20"/>
          <w:szCs w:val="20"/>
        </w:rPr>
        <w:t>Researcher consults with external stakeholders as needed to gather information related to data integrity, usefulness, understanding and resonance.</w:t>
      </w:r>
    </w:p>
    <w:p w14:paraId="0C537A65" w14:textId="77777777" w:rsidR="006D56F8" w:rsidRDefault="006D56F8" w:rsidP="006D56F8">
      <w:pPr>
        <w:pStyle w:val="ListParagraph"/>
        <w:numPr>
          <w:ilvl w:val="0"/>
          <w:numId w:val="20"/>
        </w:numPr>
        <w:spacing w:after="0" w:line="240" w:lineRule="auto"/>
        <w:ind w:left="567"/>
        <w:rPr>
          <w:rFonts w:ascii="Calibri" w:hAnsi="Calibri"/>
          <w:sz w:val="20"/>
          <w:szCs w:val="20"/>
        </w:rPr>
      </w:pPr>
      <w:r>
        <w:rPr>
          <w:rFonts w:ascii="Calibri" w:hAnsi="Calibri"/>
          <w:sz w:val="20"/>
          <w:szCs w:val="20"/>
        </w:rPr>
        <w:t>Researcher completes Data Layer Selection Form (see attached), including a decision-making matrix and a text-based description of the data layer, data integrity, data usefulness, understanding &amp; resonance, and target users/uses (including a list of stakeholders who were consulted).</w:t>
      </w:r>
    </w:p>
    <w:p w14:paraId="798B2E75" w14:textId="77777777" w:rsidR="006D56F8" w:rsidRPr="00B5738B" w:rsidRDefault="006D56F8" w:rsidP="006D56F8">
      <w:pPr>
        <w:pStyle w:val="ListParagraph"/>
        <w:numPr>
          <w:ilvl w:val="0"/>
          <w:numId w:val="20"/>
        </w:numPr>
        <w:spacing w:after="0" w:line="240" w:lineRule="auto"/>
        <w:ind w:left="567"/>
        <w:rPr>
          <w:rFonts w:ascii="Calibri" w:hAnsi="Calibri"/>
          <w:sz w:val="20"/>
          <w:szCs w:val="20"/>
        </w:rPr>
      </w:pPr>
      <w:r>
        <w:rPr>
          <w:rFonts w:ascii="Calibri" w:hAnsi="Calibri"/>
          <w:sz w:val="20"/>
          <w:szCs w:val="20"/>
        </w:rPr>
        <w:t>Data Layer Selection Form is presented to the RDI Research Team one week in advance of a scheduled team meeting.</w:t>
      </w:r>
    </w:p>
    <w:p w14:paraId="6B82406D" w14:textId="77777777" w:rsidR="006D56F8" w:rsidRDefault="006D56F8" w:rsidP="006D56F8">
      <w:pPr>
        <w:pStyle w:val="ListParagraph"/>
        <w:numPr>
          <w:ilvl w:val="0"/>
          <w:numId w:val="20"/>
        </w:numPr>
        <w:spacing w:after="0" w:line="240" w:lineRule="auto"/>
        <w:ind w:left="567"/>
        <w:rPr>
          <w:rFonts w:ascii="Calibri" w:hAnsi="Calibri"/>
          <w:sz w:val="20"/>
          <w:szCs w:val="20"/>
        </w:rPr>
      </w:pPr>
      <w:r>
        <w:rPr>
          <w:rFonts w:ascii="Calibri" w:hAnsi="Calibri"/>
          <w:sz w:val="20"/>
          <w:szCs w:val="20"/>
        </w:rPr>
        <w:t>Data layer and related Data Layer Selection Form are discussed by the RDI Research Team and consensus on scoring is reached.</w:t>
      </w:r>
    </w:p>
    <w:p w14:paraId="7EEE9499" w14:textId="77777777" w:rsidR="006D56F8" w:rsidRDefault="006D56F8" w:rsidP="006D56F8">
      <w:pPr>
        <w:pStyle w:val="ListParagraph"/>
        <w:numPr>
          <w:ilvl w:val="0"/>
          <w:numId w:val="20"/>
        </w:numPr>
        <w:spacing w:after="0" w:line="240" w:lineRule="auto"/>
        <w:ind w:left="567"/>
        <w:rPr>
          <w:rFonts w:ascii="Calibri" w:hAnsi="Calibri"/>
          <w:sz w:val="20"/>
          <w:szCs w:val="20"/>
        </w:rPr>
      </w:pPr>
      <w:r>
        <w:rPr>
          <w:rFonts w:ascii="Calibri" w:hAnsi="Calibri"/>
          <w:sz w:val="20"/>
          <w:szCs w:val="20"/>
        </w:rPr>
        <w:t xml:space="preserve">Data layers with score of 70% or more will be added to the Digital Basin and data layers with score of less than 70% will be withheld until such time as conditions have changed in a way that may improve the score (“next steps” related to the RDI’s management of the dataset will be noted)  </w:t>
      </w:r>
    </w:p>
    <w:p w14:paraId="21C7AD4A" w14:textId="77777777" w:rsidR="006D56F8" w:rsidRDefault="006D56F8" w:rsidP="006D56F8">
      <w:pPr>
        <w:pStyle w:val="ListParagraph"/>
        <w:numPr>
          <w:ilvl w:val="0"/>
          <w:numId w:val="20"/>
        </w:numPr>
        <w:spacing w:after="0" w:line="240" w:lineRule="auto"/>
        <w:ind w:left="567"/>
        <w:rPr>
          <w:rFonts w:ascii="Calibri" w:hAnsi="Calibri"/>
          <w:sz w:val="20"/>
          <w:szCs w:val="20"/>
        </w:rPr>
      </w:pPr>
      <w:r>
        <w:rPr>
          <w:rFonts w:ascii="Calibri" w:hAnsi="Calibri"/>
          <w:sz w:val="20"/>
          <w:szCs w:val="20"/>
        </w:rPr>
        <w:t xml:space="preserve">Data Layer Selection Form is finalized and uploaded to the RDI’s Metadata tool alongside other information relevant to management of the dataset. </w:t>
      </w:r>
    </w:p>
    <w:p w14:paraId="044FC588" w14:textId="77777777" w:rsidR="006D56F8" w:rsidRDefault="006D56F8" w:rsidP="006D56F8">
      <w:pPr>
        <w:pStyle w:val="ListParagraph"/>
        <w:numPr>
          <w:ilvl w:val="0"/>
          <w:numId w:val="20"/>
        </w:numPr>
        <w:spacing w:after="0" w:line="240" w:lineRule="auto"/>
        <w:ind w:left="567"/>
        <w:rPr>
          <w:rFonts w:ascii="Calibri" w:hAnsi="Calibri"/>
          <w:sz w:val="20"/>
          <w:szCs w:val="20"/>
        </w:rPr>
      </w:pPr>
      <w:r>
        <w:rPr>
          <w:rFonts w:ascii="Calibri" w:hAnsi="Calibri"/>
          <w:sz w:val="20"/>
          <w:szCs w:val="20"/>
        </w:rPr>
        <w:t>Researcher coordinates with SGRC to arrange for uploading of the layer to the Digital Basin.</w:t>
      </w:r>
    </w:p>
    <w:p w14:paraId="03599720" w14:textId="37398CCF" w:rsidR="006D56F8" w:rsidRDefault="006D56F8" w:rsidP="006D56F8">
      <w:pPr>
        <w:pStyle w:val="ListParagraph"/>
        <w:numPr>
          <w:ilvl w:val="0"/>
          <w:numId w:val="20"/>
        </w:numPr>
        <w:spacing w:after="0" w:line="240" w:lineRule="auto"/>
        <w:ind w:left="567"/>
        <w:rPr>
          <w:rFonts w:ascii="Calibri" w:hAnsi="Calibri"/>
          <w:sz w:val="20"/>
          <w:szCs w:val="20"/>
        </w:rPr>
      </w:pPr>
      <w:r>
        <w:rPr>
          <w:rFonts w:ascii="Calibri" w:hAnsi="Calibri"/>
          <w:sz w:val="20"/>
          <w:szCs w:val="20"/>
        </w:rPr>
        <w:t>SGRC provides monthly summaries of RDI-related hours according to:</w:t>
      </w:r>
    </w:p>
    <w:p w14:paraId="1F075A41" w14:textId="77777777" w:rsidR="006D56F8" w:rsidRDefault="006D56F8" w:rsidP="006D56F8">
      <w:pPr>
        <w:pStyle w:val="ListParagraph"/>
        <w:numPr>
          <w:ilvl w:val="1"/>
          <w:numId w:val="20"/>
        </w:numPr>
        <w:spacing w:after="0" w:line="240" w:lineRule="auto"/>
        <w:rPr>
          <w:rFonts w:ascii="Calibri" w:hAnsi="Calibri"/>
          <w:sz w:val="20"/>
          <w:szCs w:val="20"/>
        </w:rPr>
      </w:pPr>
      <w:r>
        <w:rPr>
          <w:rFonts w:ascii="Calibri" w:hAnsi="Calibri"/>
          <w:sz w:val="20"/>
          <w:szCs w:val="20"/>
        </w:rPr>
        <w:t>New data layers uploaded</w:t>
      </w:r>
    </w:p>
    <w:p w14:paraId="781E28DB" w14:textId="77777777" w:rsidR="006D56F8" w:rsidRDefault="006D56F8" w:rsidP="006D56F8">
      <w:pPr>
        <w:pStyle w:val="ListParagraph"/>
        <w:numPr>
          <w:ilvl w:val="1"/>
          <w:numId w:val="20"/>
        </w:numPr>
        <w:spacing w:after="0" w:line="240" w:lineRule="auto"/>
        <w:rPr>
          <w:rFonts w:ascii="Calibri" w:hAnsi="Calibri"/>
          <w:sz w:val="20"/>
          <w:szCs w:val="20"/>
        </w:rPr>
      </w:pPr>
      <w:r>
        <w:rPr>
          <w:rFonts w:ascii="Calibri" w:hAnsi="Calibri"/>
          <w:sz w:val="20"/>
          <w:szCs w:val="20"/>
        </w:rPr>
        <w:t>Updates to existing layers</w:t>
      </w:r>
    </w:p>
    <w:p w14:paraId="38125112" w14:textId="77777777" w:rsidR="006D56F8" w:rsidRDefault="006D56F8" w:rsidP="006D56F8">
      <w:pPr>
        <w:pStyle w:val="ListParagraph"/>
        <w:numPr>
          <w:ilvl w:val="1"/>
          <w:numId w:val="20"/>
        </w:numPr>
        <w:spacing w:after="0" w:line="240" w:lineRule="auto"/>
        <w:rPr>
          <w:rFonts w:ascii="Calibri" w:hAnsi="Calibri"/>
          <w:sz w:val="20"/>
          <w:szCs w:val="20"/>
        </w:rPr>
      </w:pPr>
      <w:r>
        <w:rPr>
          <w:rFonts w:ascii="Calibri" w:hAnsi="Calibri"/>
          <w:sz w:val="20"/>
          <w:szCs w:val="20"/>
        </w:rPr>
        <w:t>Digital Basin Maintenance</w:t>
      </w:r>
    </w:p>
    <w:p w14:paraId="31BCEE97" w14:textId="77777777" w:rsidR="006D56F8" w:rsidRDefault="006D56F8" w:rsidP="006D56F8">
      <w:pPr>
        <w:pStyle w:val="ListParagraph"/>
        <w:numPr>
          <w:ilvl w:val="1"/>
          <w:numId w:val="20"/>
        </w:numPr>
        <w:spacing w:after="0" w:line="240" w:lineRule="auto"/>
        <w:rPr>
          <w:rFonts w:ascii="Calibri" w:hAnsi="Calibri"/>
          <w:sz w:val="20"/>
          <w:szCs w:val="20"/>
        </w:rPr>
      </w:pPr>
      <w:r>
        <w:rPr>
          <w:rFonts w:ascii="Calibri" w:hAnsi="Calibri"/>
          <w:sz w:val="20"/>
          <w:szCs w:val="20"/>
        </w:rPr>
        <w:t>Mapping related to the RDI’s applied research projects</w:t>
      </w:r>
    </w:p>
    <w:p w14:paraId="3819E289" w14:textId="77777777" w:rsidR="006D56F8" w:rsidRDefault="006D56F8" w:rsidP="006D56F8">
      <w:pPr>
        <w:pStyle w:val="ListParagraph"/>
        <w:numPr>
          <w:ilvl w:val="1"/>
          <w:numId w:val="20"/>
        </w:numPr>
        <w:spacing w:after="0" w:line="240" w:lineRule="auto"/>
        <w:rPr>
          <w:rFonts w:ascii="Calibri" w:hAnsi="Calibri"/>
          <w:sz w:val="20"/>
          <w:szCs w:val="20"/>
        </w:rPr>
      </w:pPr>
      <w:r>
        <w:rPr>
          <w:rFonts w:ascii="Calibri" w:hAnsi="Calibri"/>
          <w:sz w:val="20"/>
          <w:szCs w:val="20"/>
        </w:rPr>
        <w:t>Development of new Digital Basin functionality</w:t>
      </w:r>
    </w:p>
    <w:p w14:paraId="541466C7" w14:textId="77777777" w:rsidR="006D56F8" w:rsidRPr="00B5738B" w:rsidRDefault="006D56F8" w:rsidP="006D56F8">
      <w:pPr>
        <w:pStyle w:val="ListParagraph"/>
        <w:numPr>
          <w:ilvl w:val="1"/>
          <w:numId w:val="20"/>
        </w:numPr>
        <w:spacing w:after="0" w:line="240" w:lineRule="auto"/>
        <w:rPr>
          <w:rFonts w:ascii="Calibri" w:hAnsi="Calibri"/>
          <w:sz w:val="20"/>
          <w:szCs w:val="20"/>
        </w:rPr>
      </w:pPr>
      <w:r>
        <w:rPr>
          <w:rFonts w:ascii="Calibri" w:hAnsi="Calibri"/>
          <w:sz w:val="20"/>
          <w:szCs w:val="20"/>
        </w:rPr>
        <w:t xml:space="preserve">Other </w:t>
      </w:r>
    </w:p>
    <w:p w14:paraId="17DA6D48" w14:textId="77777777" w:rsidR="006D56F8" w:rsidRDefault="006D56F8" w:rsidP="006D56F8">
      <w:pPr>
        <w:pStyle w:val="NoSpacing"/>
        <w:rPr>
          <w:b/>
        </w:rPr>
        <w:sectPr w:rsidR="006D56F8" w:rsidSect="006D56F8">
          <w:headerReference w:type="default" r:id="rId9"/>
          <w:pgSz w:w="12240" w:h="15840"/>
          <w:pgMar w:top="1440" w:right="900" w:bottom="1440" w:left="851" w:header="708" w:footer="708" w:gutter="0"/>
          <w:cols w:space="708"/>
          <w:docGrid w:linePitch="360"/>
        </w:sectPr>
      </w:pPr>
    </w:p>
    <w:p w14:paraId="319F1CA1" w14:textId="77777777" w:rsidR="006D56F8" w:rsidRPr="006D56F8" w:rsidRDefault="006D56F8" w:rsidP="006D56F8">
      <w:pPr>
        <w:pStyle w:val="Heading2"/>
        <w:rPr>
          <w:rFonts w:eastAsia="Times New Roman"/>
          <w:lang w:eastAsia="en-CA"/>
        </w:rPr>
      </w:pPr>
      <w:r w:rsidRPr="006D56F8">
        <w:rPr>
          <w:rFonts w:eastAsia="Times New Roman"/>
          <w:lang w:eastAsia="en-CA"/>
        </w:rPr>
        <w:lastRenderedPageBreak/>
        <w:t>Digital Basin Data Layer Selection Form</w:t>
      </w:r>
    </w:p>
    <w:p w14:paraId="401A0C2D" w14:textId="77777777" w:rsidR="006D56F8" w:rsidRDefault="006D56F8" w:rsidP="006D56F8">
      <w:pPr>
        <w:pStyle w:val="NoSpacing"/>
        <w:rPr>
          <w:b/>
        </w:rPr>
      </w:pPr>
    </w:p>
    <w:p w14:paraId="42520353" w14:textId="77777777" w:rsidR="006D56F8" w:rsidRPr="006D56F8" w:rsidRDefault="006D56F8" w:rsidP="006D56F8">
      <w:pPr>
        <w:pStyle w:val="NoSpacing"/>
        <w:rPr>
          <w:rFonts w:eastAsiaTheme="minorHAnsi"/>
          <w:color w:val="819909" w:themeColor="accent1"/>
          <w:sz w:val="22"/>
          <w:szCs w:val="22"/>
          <w:lang w:val="en-CA" w:eastAsia="en-CA"/>
        </w:rPr>
      </w:pPr>
      <w:r w:rsidRPr="006D56F8">
        <w:rPr>
          <w:rFonts w:eastAsiaTheme="minorHAnsi"/>
          <w:color w:val="819909" w:themeColor="accent1"/>
          <w:sz w:val="22"/>
          <w:szCs w:val="22"/>
          <w:lang w:val="en-CA" w:eastAsia="en-CA"/>
        </w:rPr>
        <w:t>Describe the data layer</w:t>
      </w:r>
    </w:p>
    <w:sdt>
      <w:sdtPr>
        <w:rPr>
          <w:b/>
        </w:rPr>
        <w:id w:val="-1141111113"/>
        <w:placeholder>
          <w:docPart w:val="9450419FEE7FBD4FA905CA433F9C0B6A"/>
        </w:placeholder>
        <w:showingPlcHdr/>
      </w:sdtPr>
      <w:sdtEndPr>
        <w:rPr>
          <w:b w:val="0"/>
        </w:rPr>
      </w:sdtEndPr>
      <w:sdtContent>
        <w:p w14:paraId="5F564CFC" w14:textId="77777777" w:rsidR="006D56F8" w:rsidRPr="000E7C70" w:rsidRDefault="006D56F8" w:rsidP="006D56F8">
          <w:pPr>
            <w:pStyle w:val="NoSpacing"/>
          </w:pPr>
          <w:r w:rsidRPr="00CD1A84">
            <w:rPr>
              <w:rStyle w:val="PlaceholderText"/>
            </w:rPr>
            <w:t>Click here to enter text.</w:t>
          </w:r>
        </w:p>
      </w:sdtContent>
    </w:sdt>
    <w:p w14:paraId="0CD4447B" w14:textId="77777777" w:rsidR="006D56F8" w:rsidRDefault="006D56F8" w:rsidP="006D56F8">
      <w:pPr>
        <w:pStyle w:val="NoSpacing"/>
        <w:rPr>
          <w:b/>
        </w:rPr>
      </w:pPr>
    </w:p>
    <w:p w14:paraId="4653C97F" w14:textId="77777777" w:rsidR="006D56F8" w:rsidRPr="006D56F8" w:rsidRDefault="006D56F8" w:rsidP="006D56F8">
      <w:pPr>
        <w:pStyle w:val="NoSpacing"/>
        <w:rPr>
          <w:rFonts w:eastAsiaTheme="minorHAnsi"/>
          <w:color w:val="819909" w:themeColor="accent1"/>
          <w:sz w:val="22"/>
          <w:szCs w:val="22"/>
          <w:lang w:val="en-CA" w:eastAsia="en-CA"/>
        </w:rPr>
      </w:pPr>
      <w:r w:rsidRPr="006D56F8">
        <w:rPr>
          <w:rFonts w:eastAsiaTheme="minorHAnsi"/>
          <w:color w:val="819909" w:themeColor="accent1"/>
          <w:sz w:val="22"/>
          <w:szCs w:val="22"/>
          <w:lang w:val="en-CA" w:eastAsia="en-CA"/>
        </w:rPr>
        <w:t>Comment on the integrity of the data</w:t>
      </w:r>
    </w:p>
    <w:sdt>
      <w:sdtPr>
        <w:id w:val="1660346347"/>
        <w:placeholder>
          <w:docPart w:val="9450419FEE7FBD4FA905CA433F9C0B6A"/>
        </w:placeholder>
        <w:showingPlcHdr/>
      </w:sdtPr>
      <w:sdtEndPr/>
      <w:sdtContent>
        <w:p w14:paraId="1765EA6D" w14:textId="77777777" w:rsidR="006D56F8" w:rsidRPr="000E7C70" w:rsidRDefault="006D56F8" w:rsidP="006D56F8">
          <w:pPr>
            <w:pStyle w:val="NoSpacing"/>
          </w:pPr>
          <w:r w:rsidRPr="00CD1A84">
            <w:rPr>
              <w:rStyle w:val="PlaceholderText"/>
            </w:rPr>
            <w:t>Click here to enter text.</w:t>
          </w:r>
        </w:p>
      </w:sdtContent>
    </w:sdt>
    <w:p w14:paraId="3BDF108B" w14:textId="77777777" w:rsidR="006D56F8" w:rsidRDefault="006D56F8" w:rsidP="006D56F8">
      <w:pPr>
        <w:pStyle w:val="NoSpacing"/>
        <w:rPr>
          <w:b/>
        </w:rPr>
      </w:pPr>
    </w:p>
    <w:p w14:paraId="778A8021" w14:textId="77777777" w:rsidR="006D56F8" w:rsidRPr="006D56F8" w:rsidRDefault="006D56F8" w:rsidP="006D56F8">
      <w:pPr>
        <w:pStyle w:val="NoSpacing"/>
        <w:rPr>
          <w:rFonts w:eastAsiaTheme="minorHAnsi"/>
          <w:color w:val="819909" w:themeColor="accent1"/>
          <w:sz w:val="22"/>
          <w:szCs w:val="22"/>
          <w:lang w:val="en-CA" w:eastAsia="en-CA"/>
        </w:rPr>
      </w:pPr>
      <w:r w:rsidRPr="006D56F8">
        <w:rPr>
          <w:rFonts w:eastAsiaTheme="minorHAnsi"/>
          <w:color w:val="819909" w:themeColor="accent1"/>
          <w:sz w:val="22"/>
          <w:szCs w:val="22"/>
          <w:lang w:val="en-CA" w:eastAsia="en-CA"/>
        </w:rPr>
        <w:t>Comment on the usefulness, understandability and resonance of the data</w:t>
      </w:r>
    </w:p>
    <w:sdt>
      <w:sdtPr>
        <w:id w:val="1126896450"/>
        <w:placeholder>
          <w:docPart w:val="9450419FEE7FBD4FA905CA433F9C0B6A"/>
        </w:placeholder>
        <w:showingPlcHdr/>
      </w:sdtPr>
      <w:sdtEndPr/>
      <w:sdtContent>
        <w:p w14:paraId="176277D0" w14:textId="77777777" w:rsidR="006D56F8" w:rsidRPr="000E7C70" w:rsidRDefault="006D56F8" w:rsidP="006D56F8">
          <w:pPr>
            <w:pStyle w:val="NoSpacing"/>
          </w:pPr>
          <w:r w:rsidRPr="00CD1A84">
            <w:rPr>
              <w:rStyle w:val="PlaceholderText"/>
            </w:rPr>
            <w:t>Click here to enter text.</w:t>
          </w:r>
        </w:p>
      </w:sdtContent>
    </w:sdt>
    <w:p w14:paraId="379B29ED" w14:textId="77777777" w:rsidR="006D56F8" w:rsidRDefault="006D56F8" w:rsidP="006D56F8">
      <w:pPr>
        <w:pStyle w:val="NoSpacing"/>
        <w:rPr>
          <w:b/>
        </w:rPr>
      </w:pPr>
    </w:p>
    <w:p w14:paraId="56A427E3" w14:textId="77777777" w:rsidR="006D56F8" w:rsidRPr="006D56F8" w:rsidRDefault="006D56F8" w:rsidP="006D56F8">
      <w:pPr>
        <w:pStyle w:val="NoSpacing"/>
        <w:rPr>
          <w:rFonts w:eastAsiaTheme="minorHAnsi"/>
          <w:color w:val="819909" w:themeColor="accent1"/>
          <w:sz w:val="22"/>
          <w:szCs w:val="22"/>
          <w:lang w:val="en-CA" w:eastAsia="en-CA"/>
        </w:rPr>
      </w:pPr>
      <w:r w:rsidRPr="006D56F8">
        <w:rPr>
          <w:rFonts w:eastAsiaTheme="minorHAnsi"/>
          <w:color w:val="819909" w:themeColor="accent1"/>
          <w:sz w:val="22"/>
          <w:szCs w:val="22"/>
          <w:lang w:val="en-CA" w:eastAsia="en-CA"/>
        </w:rPr>
        <w:t>Identify target users and potential uses of the data</w:t>
      </w:r>
    </w:p>
    <w:sdt>
      <w:sdtPr>
        <w:id w:val="372817299"/>
        <w:placeholder>
          <w:docPart w:val="9450419FEE7FBD4FA905CA433F9C0B6A"/>
        </w:placeholder>
        <w:showingPlcHdr/>
      </w:sdtPr>
      <w:sdtEndPr/>
      <w:sdtContent>
        <w:p w14:paraId="729B118B" w14:textId="77777777" w:rsidR="006D56F8" w:rsidRPr="000E7C70" w:rsidRDefault="006D56F8" w:rsidP="006D56F8">
          <w:pPr>
            <w:pStyle w:val="NoSpacing"/>
          </w:pPr>
          <w:r w:rsidRPr="00CD1A84">
            <w:rPr>
              <w:rStyle w:val="PlaceholderText"/>
            </w:rPr>
            <w:t>Click here to enter text.</w:t>
          </w:r>
        </w:p>
      </w:sdtContent>
    </w:sdt>
    <w:p w14:paraId="41FCF8C8" w14:textId="77777777" w:rsidR="006D56F8" w:rsidRDefault="006D56F8" w:rsidP="006D56F8">
      <w:pPr>
        <w:pStyle w:val="NoSpacing"/>
        <w:rPr>
          <w:b/>
        </w:rPr>
      </w:pPr>
    </w:p>
    <w:p w14:paraId="20E0F117" w14:textId="77777777" w:rsidR="006D56F8" w:rsidRPr="006D56F8" w:rsidRDefault="006D56F8" w:rsidP="006D56F8">
      <w:pPr>
        <w:pStyle w:val="NoSpacing"/>
        <w:rPr>
          <w:rFonts w:eastAsiaTheme="minorHAnsi"/>
          <w:color w:val="819909" w:themeColor="accent1"/>
          <w:sz w:val="22"/>
          <w:szCs w:val="22"/>
          <w:lang w:val="en-CA" w:eastAsia="en-CA"/>
        </w:rPr>
      </w:pPr>
      <w:r w:rsidRPr="006D56F8">
        <w:rPr>
          <w:rFonts w:eastAsiaTheme="minorHAnsi"/>
          <w:color w:val="819909" w:themeColor="accent1"/>
          <w:sz w:val="22"/>
          <w:szCs w:val="22"/>
          <w:lang w:val="en-CA" w:eastAsia="en-CA"/>
        </w:rPr>
        <w:t>List the stakeholders consulted while assessing the data layer</w:t>
      </w:r>
    </w:p>
    <w:sdt>
      <w:sdtPr>
        <w:id w:val="115718524"/>
        <w:placeholder>
          <w:docPart w:val="9450419FEE7FBD4FA905CA433F9C0B6A"/>
        </w:placeholder>
        <w:showingPlcHdr/>
      </w:sdtPr>
      <w:sdtEndPr/>
      <w:sdtContent>
        <w:p w14:paraId="708DD06D" w14:textId="77777777" w:rsidR="006D56F8" w:rsidRPr="000E7C70" w:rsidRDefault="006D56F8" w:rsidP="006D56F8">
          <w:pPr>
            <w:pStyle w:val="NoSpacing"/>
          </w:pPr>
          <w:r w:rsidRPr="00CD1A84">
            <w:rPr>
              <w:rStyle w:val="PlaceholderText"/>
            </w:rPr>
            <w:t>Click here to enter text.</w:t>
          </w:r>
        </w:p>
      </w:sdtContent>
    </w:sdt>
    <w:p w14:paraId="0B81D3F8" w14:textId="77777777" w:rsidR="006D56F8" w:rsidRDefault="006D56F8" w:rsidP="006D56F8">
      <w:pPr>
        <w:pStyle w:val="NoSpacing"/>
        <w:rPr>
          <w:b/>
        </w:rPr>
      </w:pPr>
    </w:p>
    <w:p w14:paraId="0EAD9A01" w14:textId="77777777" w:rsidR="006D56F8" w:rsidRDefault="006D56F8" w:rsidP="006D56F8">
      <w:pPr>
        <w:pStyle w:val="NoSpacing"/>
        <w:rPr>
          <w:b/>
        </w:rPr>
      </w:pPr>
      <w:r w:rsidRPr="006D56F8">
        <w:rPr>
          <w:rFonts w:eastAsiaTheme="minorHAnsi"/>
          <w:color w:val="819909" w:themeColor="accent1"/>
          <w:sz w:val="22"/>
          <w:szCs w:val="22"/>
          <w:lang w:val="en-CA" w:eastAsia="en-CA"/>
        </w:rPr>
        <w:t>Complete the Decision-Making Matrix (next page)</w:t>
      </w:r>
    </w:p>
    <w:p w14:paraId="34F9C1BA" w14:textId="77777777" w:rsidR="006D56F8" w:rsidRDefault="006D56F8" w:rsidP="006D56F8">
      <w:pPr>
        <w:rPr>
          <w:b/>
        </w:rPr>
      </w:pPr>
      <w:r>
        <w:rPr>
          <w:b/>
        </w:rPr>
        <w:br w:type="page"/>
      </w:r>
    </w:p>
    <w:p w14:paraId="6C89BA3C" w14:textId="77777777" w:rsidR="006D56F8" w:rsidRPr="006D56F8" w:rsidRDefault="006D56F8" w:rsidP="006D56F8">
      <w:pPr>
        <w:pStyle w:val="Heading2"/>
        <w:rPr>
          <w:rFonts w:eastAsia="Times New Roman"/>
          <w:lang w:eastAsia="en-CA"/>
        </w:rPr>
      </w:pPr>
      <w:r w:rsidRPr="006D56F8">
        <w:rPr>
          <w:rFonts w:eastAsia="Times New Roman"/>
          <w:lang w:eastAsia="en-CA"/>
        </w:rPr>
        <w:lastRenderedPageBreak/>
        <w:t>Data Layer Decision-Making Matrix</w:t>
      </w:r>
    </w:p>
    <w:tbl>
      <w:tblPr>
        <w:tblStyle w:val="LightList-Accent1"/>
        <w:tblW w:w="0" w:type="auto"/>
        <w:tblInd w:w="-318" w:type="dxa"/>
        <w:tblLook w:val="04A0" w:firstRow="1" w:lastRow="0" w:firstColumn="1" w:lastColumn="0" w:noHBand="0" w:noVBand="1"/>
      </w:tblPr>
      <w:tblGrid>
        <w:gridCol w:w="6613"/>
        <w:gridCol w:w="318"/>
        <w:gridCol w:w="318"/>
        <w:gridCol w:w="318"/>
        <w:gridCol w:w="318"/>
        <w:gridCol w:w="318"/>
        <w:gridCol w:w="318"/>
        <w:gridCol w:w="318"/>
        <w:gridCol w:w="318"/>
        <w:gridCol w:w="318"/>
        <w:gridCol w:w="419"/>
      </w:tblGrid>
      <w:tr w:rsidR="006D56F8" w:rsidRPr="006D56F8" w14:paraId="669E53E0" w14:textId="77777777" w:rsidTr="00EF348B">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FFFFFF" w:themeColor="background1"/>
              <w:right w:val="single" w:sz="8" w:space="0" w:color="FFFFFF" w:themeColor="background1"/>
            </w:tcBorders>
            <w:vAlign w:val="center"/>
          </w:tcPr>
          <w:p w14:paraId="7ABA7C71" w14:textId="77777777" w:rsidR="006D56F8" w:rsidRPr="006D56F8" w:rsidRDefault="006D56F8" w:rsidP="006D56F8">
            <w:pPr>
              <w:pStyle w:val="NoSpacing"/>
              <w:rPr>
                <w:sz w:val="20"/>
                <w:szCs w:val="20"/>
              </w:rPr>
            </w:pPr>
            <w:r w:rsidRPr="006D56F8">
              <w:rPr>
                <w:sz w:val="20"/>
                <w:szCs w:val="20"/>
              </w:rPr>
              <w:t xml:space="preserve"> CRITERIA</w:t>
            </w:r>
          </w:p>
        </w:tc>
        <w:tc>
          <w:tcPr>
            <w:tcW w:w="0" w:type="auto"/>
            <w:tcBorders>
              <w:top w:val="nil"/>
              <w:left w:val="single" w:sz="8" w:space="0" w:color="FFFFFF" w:themeColor="background1"/>
              <w:bottom w:val="single" w:sz="8" w:space="0" w:color="FFFFFF" w:themeColor="background1"/>
              <w:right w:val="single" w:sz="8" w:space="0" w:color="FFFFFF" w:themeColor="background1"/>
            </w:tcBorders>
            <w:vAlign w:val="center"/>
          </w:tcPr>
          <w:p w14:paraId="5F44E393" w14:textId="77777777" w:rsidR="006D56F8" w:rsidRPr="006D56F8" w:rsidRDefault="006D56F8" w:rsidP="006D56F8">
            <w:pPr>
              <w:pStyle w:val="NoSpacing"/>
              <w:cnfStyle w:val="100000000000" w:firstRow="1" w:lastRow="0" w:firstColumn="0" w:lastColumn="0" w:oddVBand="0" w:evenVBand="0" w:oddHBand="0" w:evenHBand="0" w:firstRowFirstColumn="0" w:firstRowLastColumn="0" w:lastRowFirstColumn="0" w:lastRowLastColumn="0"/>
              <w:rPr>
                <w:sz w:val="20"/>
                <w:szCs w:val="20"/>
              </w:rPr>
            </w:pPr>
            <w:r w:rsidRPr="006D56F8">
              <w:rPr>
                <w:sz w:val="20"/>
                <w:szCs w:val="20"/>
              </w:rPr>
              <w:t>1</w:t>
            </w:r>
          </w:p>
        </w:tc>
        <w:tc>
          <w:tcPr>
            <w:tcW w:w="0" w:type="auto"/>
            <w:tcBorders>
              <w:top w:val="nil"/>
              <w:left w:val="single" w:sz="8" w:space="0" w:color="FFFFFF" w:themeColor="background1"/>
              <w:bottom w:val="single" w:sz="8" w:space="0" w:color="FFFFFF" w:themeColor="background1"/>
              <w:right w:val="single" w:sz="8" w:space="0" w:color="FFFFFF" w:themeColor="background1"/>
            </w:tcBorders>
            <w:vAlign w:val="center"/>
          </w:tcPr>
          <w:p w14:paraId="70DB6739" w14:textId="77777777" w:rsidR="006D56F8" w:rsidRPr="006D56F8" w:rsidRDefault="006D56F8" w:rsidP="006D56F8">
            <w:pPr>
              <w:pStyle w:val="NoSpacing"/>
              <w:cnfStyle w:val="100000000000" w:firstRow="1" w:lastRow="0" w:firstColumn="0" w:lastColumn="0" w:oddVBand="0" w:evenVBand="0" w:oddHBand="0" w:evenHBand="0" w:firstRowFirstColumn="0" w:firstRowLastColumn="0" w:lastRowFirstColumn="0" w:lastRowLastColumn="0"/>
              <w:rPr>
                <w:sz w:val="20"/>
                <w:szCs w:val="20"/>
              </w:rPr>
            </w:pPr>
            <w:r w:rsidRPr="006D56F8">
              <w:rPr>
                <w:sz w:val="20"/>
                <w:szCs w:val="20"/>
              </w:rPr>
              <w:t>2</w:t>
            </w:r>
          </w:p>
        </w:tc>
        <w:tc>
          <w:tcPr>
            <w:tcW w:w="0" w:type="auto"/>
            <w:tcBorders>
              <w:top w:val="nil"/>
              <w:left w:val="single" w:sz="8" w:space="0" w:color="FFFFFF" w:themeColor="background1"/>
              <w:bottom w:val="single" w:sz="8" w:space="0" w:color="FFFFFF" w:themeColor="background1"/>
              <w:right w:val="single" w:sz="8" w:space="0" w:color="FFFFFF" w:themeColor="background1"/>
            </w:tcBorders>
            <w:vAlign w:val="center"/>
          </w:tcPr>
          <w:p w14:paraId="2C13FA55" w14:textId="77777777" w:rsidR="006D56F8" w:rsidRPr="006D56F8" w:rsidRDefault="006D56F8" w:rsidP="006D56F8">
            <w:pPr>
              <w:pStyle w:val="NoSpacing"/>
              <w:cnfStyle w:val="100000000000" w:firstRow="1" w:lastRow="0" w:firstColumn="0" w:lastColumn="0" w:oddVBand="0" w:evenVBand="0" w:oddHBand="0" w:evenHBand="0" w:firstRowFirstColumn="0" w:firstRowLastColumn="0" w:lastRowFirstColumn="0" w:lastRowLastColumn="0"/>
              <w:rPr>
                <w:sz w:val="20"/>
                <w:szCs w:val="20"/>
              </w:rPr>
            </w:pPr>
            <w:r w:rsidRPr="006D56F8">
              <w:rPr>
                <w:sz w:val="20"/>
                <w:szCs w:val="20"/>
              </w:rPr>
              <w:t>3</w:t>
            </w:r>
          </w:p>
        </w:tc>
        <w:tc>
          <w:tcPr>
            <w:tcW w:w="0" w:type="auto"/>
            <w:tcBorders>
              <w:top w:val="nil"/>
              <w:left w:val="single" w:sz="8" w:space="0" w:color="FFFFFF" w:themeColor="background1"/>
              <w:bottom w:val="single" w:sz="8" w:space="0" w:color="FFFFFF" w:themeColor="background1"/>
              <w:right w:val="single" w:sz="8" w:space="0" w:color="FFFFFF" w:themeColor="background1"/>
            </w:tcBorders>
            <w:vAlign w:val="center"/>
          </w:tcPr>
          <w:p w14:paraId="157755D7" w14:textId="77777777" w:rsidR="006D56F8" w:rsidRPr="006D56F8" w:rsidRDefault="006D56F8" w:rsidP="006D56F8">
            <w:pPr>
              <w:pStyle w:val="NoSpacing"/>
              <w:cnfStyle w:val="100000000000" w:firstRow="1" w:lastRow="0" w:firstColumn="0" w:lastColumn="0" w:oddVBand="0" w:evenVBand="0" w:oddHBand="0" w:evenHBand="0" w:firstRowFirstColumn="0" w:firstRowLastColumn="0" w:lastRowFirstColumn="0" w:lastRowLastColumn="0"/>
              <w:rPr>
                <w:sz w:val="20"/>
                <w:szCs w:val="20"/>
              </w:rPr>
            </w:pPr>
            <w:r w:rsidRPr="006D56F8">
              <w:rPr>
                <w:sz w:val="20"/>
                <w:szCs w:val="20"/>
              </w:rPr>
              <w:t>4</w:t>
            </w:r>
          </w:p>
        </w:tc>
        <w:tc>
          <w:tcPr>
            <w:tcW w:w="0" w:type="auto"/>
            <w:tcBorders>
              <w:top w:val="nil"/>
              <w:left w:val="single" w:sz="8" w:space="0" w:color="FFFFFF" w:themeColor="background1"/>
              <w:bottom w:val="single" w:sz="8" w:space="0" w:color="FFFFFF" w:themeColor="background1"/>
              <w:right w:val="single" w:sz="8" w:space="0" w:color="FFFFFF" w:themeColor="background1"/>
            </w:tcBorders>
            <w:vAlign w:val="center"/>
          </w:tcPr>
          <w:p w14:paraId="1E24CD1C" w14:textId="77777777" w:rsidR="006D56F8" w:rsidRPr="006D56F8" w:rsidRDefault="006D56F8" w:rsidP="006D56F8">
            <w:pPr>
              <w:pStyle w:val="NoSpacing"/>
              <w:cnfStyle w:val="100000000000" w:firstRow="1" w:lastRow="0" w:firstColumn="0" w:lastColumn="0" w:oddVBand="0" w:evenVBand="0" w:oddHBand="0" w:evenHBand="0" w:firstRowFirstColumn="0" w:firstRowLastColumn="0" w:lastRowFirstColumn="0" w:lastRowLastColumn="0"/>
              <w:rPr>
                <w:sz w:val="20"/>
                <w:szCs w:val="20"/>
              </w:rPr>
            </w:pPr>
            <w:r w:rsidRPr="006D56F8">
              <w:rPr>
                <w:sz w:val="20"/>
                <w:szCs w:val="20"/>
              </w:rPr>
              <w:t>5</w:t>
            </w:r>
          </w:p>
        </w:tc>
        <w:tc>
          <w:tcPr>
            <w:tcW w:w="0" w:type="auto"/>
            <w:tcBorders>
              <w:top w:val="nil"/>
              <w:left w:val="single" w:sz="8" w:space="0" w:color="FFFFFF" w:themeColor="background1"/>
              <w:bottom w:val="single" w:sz="8" w:space="0" w:color="FFFFFF" w:themeColor="background1"/>
              <w:right w:val="single" w:sz="8" w:space="0" w:color="FFFFFF" w:themeColor="background1"/>
            </w:tcBorders>
            <w:vAlign w:val="center"/>
          </w:tcPr>
          <w:p w14:paraId="04DD60E6" w14:textId="77777777" w:rsidR="006D56F8" w:rsidRPr="006D56F8" w:rsidRDefault="006D56F8" w:rsidP="006D56F8">
            <w:pPr>
              <w:pStyle w:val="NoSpacing"/>
              <w:cnfStyle w:val="100000000000" w:firstRow="1" w:lastRow="0" w:firstColumn="0" w:lastColumn="0" w:oddVBand="0" w:evenVBand="0" w:oddHBand="0" w:evenHBand="0" w:firstRowFirstColumn="0" w:firstRowLastColumn="0" w:lastRowFirstColumn="0" w:lastRowLastColumn="0"/>
              <w:rPr>
                <w:sz w:val="20"/>
                <w:szCs w:val="20"/>
              </w:rPr>
            </w:pPr>
            <w:r w:rsidRPr="006D56F8">
              <w:rPr>
                <w:sz w:val="20"/>
                <w:szCs w:val="20"/>
              </w:rPr>
              <w:t>6</w:t>
            </w:r>
          </w:p>
        </w:tc>
        <w:tc>
          <w:tcPr>
            <w:tcW w:w="0" w:type="auto"/>
            <w:tcBorders>
              <w:top w:val="nil"/>
              <w:left w:val="single" w:sz="8" w:space="0" w:color="FFFFFF" w:themeColor="background1"/>
              <w:bottom w:val="single" w:sz="8" w:space="0" w:color="FFFFFF" w:themeColor="background1"/>
              <w:right w:val="single" w:sz="8" w:space="0" w:color="FFFFFF" w:themeColor="background1"/>
            </w:tcBorders>
            <w:vAlign w:val="center"/>
          </w:tcPr>
          <w:p w14:paraId="3BDB1419" w14:textId="77777777" w:rsidR="006D56F8" w:rsidRPr="006D56F8" w:rsidRDefault="006D56F8" w:rsidP="006D56F8">
            <w:pPr>
              <w:pStyle w:val="NoSpacing"/>
              <w:cnfStyle w:val="100000000000" w:firstRow="1" w:lastRow="0" w:firstColumn="0" w:lastColumn="0" w:oddVBand="0" w:evenVBand="0" w:oddHBand="0" w:evenHBand="0" w:firstRowFirstColumn="0" w:firstRowLastColumn="0" w:lastRowFirstColumn="0" w:lastRowLastColumn="0"/>
              <w:rPr>
                <w:sz w:val="20"/>
                <w:szCs w:val="20"/>
              </w:rPr>
            </w:pPr>
            <w:r w:rsidRPr="006D56F8">
              <w:rPr>
                <w:sz w:val="20"/>
                <w:szCs w:val="20"/>
              </w:rPr>
              <w:t>7</w:t>
            </w:r>
          </w:p>
        </w:tc>
        <w:tc>
          <w:tcPr>
            <w:tcW w:w="0" w:type="auto"/>
            <w:tcBorders>
              <w:top w:val="nil"/>
              <w:left w:val="single" w:sz="8" w:space="0" w:color="FFFFFF" w:themeColor="background1"/>
              <w:bottom w:val="single" w:sz="8" w:space="0" w:color="FFFFFF" w:themeColor="background1"/>
              <w:right w:val="single" w:sz="8" w:space="0" w:color="FFFFFF" w:themeColor="background1"/>
            </w:tcBorders>
            <w:vAlign w:val="center"/>
          </w:tcPr>
          <w:p w14:paraId="5E9ED3EE" w14:textId="77777777" w:rsidR="006D56F8" w:rsidRPr="006D56F8" w:rsidRDefault="006D56F8" w:rsidP="006D56F8">
            <w:pPr>
              <w:pStyle w:val="NoSpacing"/>
              <w:cnfStyle w:val="100000000000" w:firstRow="1" w:lastRow="0" w:firstColumn="0" w:lastColumn="0" w:oddVBand="0" w:evenVBand="0" w:oddHBand="0" w:evenHBand="0" w:firstRowFirstColumn="0" w:firstRowLastColumn="0" w:lastRowFirstColumn="0" w:lastRowLastColumn="0"/>
              <w:rPr>
                <w:sz w:val="20"/>
                <w:szCs w:val="20"/>
              </w:rPr>
            </w:pPr>
            <w:r w:rsidRPr="006D56F8">
              <w:rPr>
                <w:sz w:val="20"/>
                <w:szCs w:val="20"/>
              </w:rPr>
              <w:t>8</w:t>
            </w:r>
          </w:p>
        </w:tc>
        <w:tc>
          <w:tcPr>
            <w:tcW w:w="0" w:type="auto"/>
            <w:tcBorders>
              <w:top w:val="nil"/>
              <w:left w:val="single" w:sz="8" w:space="0" w:color="FFFFFF" w:themeColor="background1"/>
              <w:bottom w:val="single" w:sz="8" w:space="0" w:color="FFFFFF" w:themeColor="background1"/>
              <w:right w:val="single" w:sz="8" w:space="0" w:color="FFFFFF" w:themeColor="background1"/>
            </w:tcBorders>
            <w:vAlign w:val="center"/>
          </w:tcPr>
          <w:p w14:paraId="0E352AEE" w14:textId="77777777" w:rsidR="006D56F8" w:rsidRPr="006D56F8" w:rsidRDefault="006D56F8" w:rsidP="006D56F8">
            <w:pPr>
              <w:pStyle w:val="NoSpacing"/>
              <w:cnfStyle w:val="100000000000" w:firstRow="1" w:lastRow="0" w:firstColumn="0" w:lastColumn="0" w:oddVBand="0" w:evenVBand="0" w:oddHBand="0" w:evenHBand="0" w:firstRowFirstColumn="0" w:firstRowLastColumn="0" w:lastRowFirstColumn="0" w:lastRowLastColumn="0"/>
              <w:rPr>
                <w:sz w:val="20"/>
                <w:szCs w:val="20"/>
              </w:rPr>
            </w:pPr>
            <w:r w:rsidRPr="006D56F8">
              <w:rPr>
                <w:sz w:val="20"/>
                <w:szCs w:val="20"/>
              </w:rPr>
              <w:t>9</w:t>
            </w:r>
          </w:p>
        </w:tc>
        <w:tc>
          <w:tcPr>
            <w:tcW w:w="0" w:type="auto"/>
            <w:tcBorders>
              <w:top w:val="nil"/>
              <w:left w:val="single" w:sz="8" w:space="0" w:color="FFFFFF" w:themeColor="background1"/>
              <w:bottom w:val="single" w:sz="8" w:space="0" w:color="FFFFFF" w:themeColor="background1"/>
              <w:right w:val="single" w:sz="8" w:space="0" w:color="FFFFFF" w:themeColor="background1"/>
            </w:tcBorders>
            <w:vAlign w:val="center"/>
          </w:tcPr>
          <w:p w14:paraId="28BC9B4B" w14:textId="77777777" w:rsidR="006D56F8" w:rsidRPr="006D56F8" w:rsidRDefault="006D56F8" w:rsidP="006D56F8">
            <w:pPr>
              <w:pStyle w:val="NoSpacing"/>
              <w:cnfStyle w:val="100000000000" w:firstRow="1" w:lastRow="0" w:firstColumn="0" w:lastColumn="0" w:oddVBand="0" w:evenVBand="0" w:oddHBand="0" w:evenHBand="0" w:firstRowFirstColumn="0" w:firstRowLastColumn="0" w:lastRowFirstColumn="0" w:lastRowLastColumn="0"/>
              <w:rPr>
                <w:sz w:val="20"/>
                <w:szCs w:val="20"/>
              </w:rPr>
            </w:pPr>
            <w:r w:rsidRPr="006D56F8">
              <w:rPr>
                <w:sz w:val="20"/>
                <w:szCs w:val="20"/>
              </w:rPr>
              <w:t>10</w:t>
            </w:r>
          </w:p>
        </w:tc>
      </w:tr>
      <w:tr w:rsidR="006D56F8" w:rsidRPr="006D56F8" w14:paraId="45246EB7" w14:textId="77777777" w:rsidTr="00EF348B">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0" w:type="auto"/>
            <w:gridSpan w:val="11"/>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80"/>
            <w:vAlign w:val="center"/>
          </w:tcPr>
          <w:p w14:paraId="6304AB17" w14:textId="77777777" w:rsidR="006D56F8" w:rsidRPr="006D56F8" w:rsidRDefault="006D56F8" w:rsidP="006D56F8">
            <w:pPr>
              <w:pStyle w:val="NoSpacing"/>
              <w:rPr>
                <w:sz w:val="20"/>
                <w:szCs w:val="20"/>
              </w:rPr>
            </w:pPr>
            <w:r w:rsidRPr="006D56F8">
              <w:rPr>
                <w:sz w:val="20"/>
                <w:szCs w:val="20"/>
              </w:rPr>
              <w:t>DATA INTEGRITY</w:t>
            </w:r>
          </w:p>
        </w:tc>
      </w:tr>
      <w:tr w:rsidR="006D56F8" w:rsidRPr="006D56F8" w14:paraId="331AD7A8" w14:textId="77777777" w:rsidTr="00EF348B">
        <w:trPr>
          <w:trHeight w:val="327"/>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21B848C2" w14:textId="77777777" w:rsidR="006D56F8" w:rsidRPr="006D56F8" w:rsidRDefault="006D56F8" w:rsidP="006D56F8">
            <w:pPr>
              <w:pStyle w:val="NoSpacing"/>
              <w:rPr>
                <w:rFonts w:cs="Times New Roman"/>
                <w:color w:val="819909" w:themeColor="accent1"/>
                <w:sz w:val="20"/>
                <w:szCs w:val="20"/>
              </w:rPr>
            </w:pPr>
            <w:r w:rsidRPr="006D56F8">
              <w:rPr>
                <w:rFonts w:cs="Times New Roman"/>
                <w:i/>
                <w:color w:val="819909" w:themeColor="accent1"/>
                <w:sz w:val="20"/>
                <w:szCs w:val="20"/>
              </w:rPr>
              <w:t>Data availability and cost</w:t>
            </w:r>
            <w:r w:rsidRPr="006D56F8">
              <w:rPr>
                <w:rFonts w:cs="Times New Roman"/>
                <w:color w:val="819909" w:themeColor="accent1"/>
                <w:sz w:val="20"/>
                <w:szCs w:val="20"/>
              </w:rPr>
              <w:t xml:space="preserve"> </w:t>
            </w:r>
          </w:p>
          <w:p w14:paraId="35CC11FE" w14:textId="77777777" w:rsidR="006D56F8" w:rsidRPr="006D56F8" w:rsidRDefault="006D56F8" w:rsidP="006D56F8">
            <w:pPr>
              <w:pStyle w:val="NoSpacing"/>
              <w:rPr>
                <w:rFonts w:cs="Times New Roman"/>
                <w:b w:val="0"/>
                <w:color w:val="819909" w:themeColor="accent1"/>
                <w:sz w:val="20"/>
                <w:szCs w:val="20"/>
              </w:rPr>
            </w:pPr>
            <w:r w:rsidRPr="006D56F8">
              <w:rPr>
                <w:rFonts w:cs="Times New Roman"/>
                <w:b w:val="0"/>
                <w:color w:val="819909" w:themeColor="accent1"/>
                <w:sz w:val="20"/>
                <w:szCs w:val="20"/>
              </w:rPr>
              <w:t>10: Data are readily available</w:t>
            </w:r>
          </w:p>
          <w:p w14:paraId="70DB1D1B" w14:textId="77777777" w:rsidR="006D56F8" w:rsidRPr="006D56F8" w:rsidRDefault="006D56F8" w:rsidP="006D56F8">
            <w:pPr>
              <w:pStyle w:val="NoSpacing"/>
              <w:rPr>
                <w:rFonts w:cs="Times New Roman"/>
                <w:color w:val="819909" w:themeColor="accent1"/>
                <w:sz w:val="20"/>
                <w:szCs w:val="20"/>
              </w:rPr>
            </w:pPr>
            <w:r w:rsidRPr="006D56F8">
              <w:rPr>
                <w:rFonts w:cs="Times New Roman"/>
                <w:b w:val="0"/>
                <w:color w:val="819909" w:themeColor="accent1"/>
                <w:sz w:val="20"/>
                <w:szCs w:val="20"/>
              </w:rPr>
              <w:t>1: Data are not available or data are only available at significant cost</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20F87ADD"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778E330B"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25492722"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026EF9D4"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7672EF83"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325B68F5"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77D64CDA"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734F3CD4"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41DD981D"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6D215731"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6D56F8" w:rsidRPr="006D56F8" w14:paraId="65CC64E2" w14:textId="77777777" w:rsidTr="00EF348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27D00E64" w14:textId="77777777" w:rsidR="006D56F8" w:rsidRPr="006D56F8" w:rsidRDefault="006D56F8" w:rsidP="006D56F8">
            <w:pPr>
              <w:pStyle w:val="NoSpacing"/>
              <w:rPr>
                <w:rFonts w:cs="Times New Roman"/>
                <w:color w:val="819909" w:themeColor="accent1"/>
                <w:sz w:val="20"/>
                <w:szCs w:val="20"/>
              </w:rPr>
            </w:pPr>
            <w:r w:rsidRPr="006D56F8">
              <w:rPr>
                <w:rFonts w:cs="Times New Roman"/>
                <w:i/>
                <w:color w:val="819909" w:themeColor="accent1"/>
                <w:sz w:val="20"/>
                <w:szCs w:val="20"/>
              </w:rPr>
              <w:t>Data reliability</w:t>
            </w:r>
          </w:p>
          <w:p w14:paraId="73C4DB4E" w14:textId="77777777" w:rsidR="006D56F8" w:rsidRPr="006D56F8" w:rsidRDefault="006D56F8" w:rsidP="006D56F8">
            <w:pPr>
              <w:pStyle w:val="NoSpacing"/>
              <w:rPr>
                <w:rFonts w:cs="Times New Roman"/>
                <w:b w:val="0"/>
                <w:color w:val="819909" w:themeColor="accent1"/>
                <w:sz w:val="20"/>
                <w:szCs w:val="20"/>
              </w:rPr>
            </w:pPr>
            <w:r w:rsidRPr="006D56F8">
              <w:rPr>
                <w:rFonts w:cs="Times New Roman"/>
                <w:b w:val="0"/>
                <w:color w:val="819909" w:themeColor="accent1"/>
                <w:sz w:val="20"/>
                <w:szCs w:val="20"/>
              </w:rPr>
              <w:t>10: Data are collected at analyzed using sound methods and can support sound conclusions</w:t>
            </w:r>
          </w:p>
          <w:p w14:paraId="621E3C64" w14:textId="77777777" w:rsidR="006D56F8" w:rsidRPr="006D56F8" w:rsidRDefault="006D56F8" w:rsidP="006D56F8">
            <w:pPr>
              <w:pStyle w:val="NoSpacing"/>
              <w:rPr>
                <w:rFonts w:cs="Times New Roman"/>
                <w:color w:val="819909" w:themeColor="accent1"/>
                <w:sz w:val="20"/>
                <w:szCs w:val="20"/>
              </w:rPr>
            </w:pPr>
            <w:r w:rsidRPr="006D56F8">
              <w:rPr>
                <w:rFonts w:cs="Times New Roman"/>
                <w:b w:val="0"/>
                <w:color w:val="819909" w:themeColor="accent1"/>
                <w:sz w:val="20"/>
                <w:szCs w:val="20"/>
              </w:rPr>
              <w:t>1: Data are/may be unreliable</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3CFFA850"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36E8D2B0"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1CE78AAC"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79BFAF10"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49ABFD10"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66181937"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458C3AFB"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2FBF8D85"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62A4F517"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6D5B6206"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r>
      <w:tr w:rsidR="006D56F8" w:rsidRPr="006D56F8" w14:paraId="1F9C2FF9" w14:textId="77777777" w:rsidTr="00EF348B">
        <w:trPr>
          <w:trHeight w:val="207"/>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6D4710BC" w14:textId="77777777" w:rsidR="006D56F8" w:rsidRPr="006D56F8" w:rsidRDefault="006D56F8" w:rsidP="006D56F8">
            <w:pPr>
              <w:pStyle w:val="NoSpacing"/>
              <w:rPr>
                <w:rFonts w:cs="Times New Roman"/>
                <w:i/>
                <w:color w:val="819909" w:themeColor="accent1"/>
                <w:sz w:val="20"/>
                <w:szCs w:val="20"/>
              </w:rPr>
            </w:pPr>
            <w:r w:rsidRPr="006D56F8">
              <w:rPr>
                <w:rFonts w:cs="Times New Roman"/>
                <w:i/>
                <w:color w:val="819909" w:themeColor="accent1"/>
                <w:sz w:val="20"/>
                <w:szCs w:val="20"/>
              </w:rPr>
              <w:t>Data condition</w:t>
            </w:r>
          </w:p>
          <w:p w14:paraId="5A59E5F2" w14:textId="77777777" w:rsidR="006D56F8" w:rsidRPr="006D56F8" w:rsidRDefault="006D56F8" w:rsidP="006D56F8">
            <w:pPr>
              <w:pStyle w:val="NoSpacing"/>
              <w:rPr>
                <w:rFonts w:cs="Times New Roman"/>
                <w:b w:val="0"/>
                <w:color w:val="819909" w:themeColor="accent1"/>
                <w:sz w:val="20"/>
                <w:szCs w:val="20"/>
              </w:rPr>
            </w:pPr>
            <w:r w:rsidRPr="006D56F8">
              <w:rPr>
                <w:rFonts w:cs="Times New Roman"/>
                <w:b w:val="0"/>
                <w:color w:val="819909" w:themeColor="accent1"/>
                <w:sz w:val="20"/>
                <w:szCs w:val="20"/>
              </w:rPr>
              <w:t>5: Data are available in a state that is readily interpretable</w:t>
            </w:r>
          </w:p>
          <w:p w14:paraId="45D75340" w14:textId="77777777" w:rsidR="006D56F8" w:rsidRPr="006D56F8" w:rsidRDefault="006D56F8" w:rsidP="006D56F8">
            <w:pPr>
              <w:pStyle w:val="NoSpacing"/>
              <w:rPr>
                <w:rFonts w:cs="Times New Roman"/>
                <w:b w:val="0"/>
                <w:color w:val="819909" w:themeColor="accent1"/>
                <w:sz w:val="20"/>
                <w:szCs w:val="20"/>
              </w:rPr>
            </w:pPr>
            <w:r w:rsidRPr="006D56F8">
              <w:rPr>
                <w:rFonts w:cs="Times New Roman"/>
                <w:b w:val="0"/>
                <w:color w:val="819909" w:themeColor="accent1"/>
                <w:sz w:val="20"/>
                <w:szCs w:val="20"/>
              </w:rPr>
              <w:t>1: Data require significant manipulation or analysis to generate results</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70A18C06"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0085B0DA"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23DE599D"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24209B47"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11F1BD76"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01FE1EB7"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0CED0F37"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7D6D59B4"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671747BA"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03278EC1"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6D56F8" w:rsidRPr="006D56F8" w14:paraId="2AC331D4" w14:textId="77777777" w:rsidTr="00EF348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45E91D3B" w14:textId="77777777" w:rsidR="006D56F8" w:rsidRPr="006D56F8" w:rsidRDefault="006D56F8" w:rsidP="006D56F8">
            <w:pPr>
              <w:pStyle w:val="NoSpacing"/>
              <w:rPr>
                <w:rFonts w:cs="Times New Roman"/>
                <w:color w:val="819909" w:themeColor="accent1"/>
                <w:sz w:val="20"/>
                <w:szCs w:val="20"/>
              </w:rPr>
            </w:pPr>
            <w:r w:rsidRPr="006D56F8">
              <w:rPr>
                <w:rFonts w:cs="Times New Roman"/>
                <w:i/>
                <w:color w:val="819909" w:themeColor="accent1"/>
                <w:sz w:val="20"/>
                <w:szCs w:val="20"/>
              </w:rPr>
              <w:t>Historical data</w:t>
            </w:r>
          </w:p>
          <w:p w14:paraId="1B132CA3" w14:textId="77777777" w:rsidR="006D56F8" w:rsidRPr="006D56F8" w:rsidRDefault="006D56F8" w:rsidP="006D56F8">
            <w:pPr>
              <w:pStyle w:val="NoSpacing"/>
              <w:rPr>
                <w:rFonts w:cs="Times New Roman"/>
                <w:b w:val="0"/>
                <w:color w:val="819909" w:themeColor="accent1"/>
                <w:sz w:val="20"/>
                <w:szCs w:val="20"/>
              </w:rPr>
            </w:pPr>
            <w:r w:rsidRPr="006D56F8">
              <w:rPr>
                <w:rFonts w:cs="Times New Roman"/>
                <w:b w:val="0"/>
                <w:color w:val="819909" w:themeColor="accent1"/>
                <w:sz w:val="20"/>
                <w:szCs w:val="20"/>
              </w:rPr>
              <w:t>5: Historical data are available at an appropriate time scale</w:t>
            </w:r>
          </w:p>
          <w:p w14:paraId="49A438A3" w14:textId="77777777" w:rsidR="006D56F8" w:rsidRPr="006D56F8" w:rsidRDefault="006D56F8" w:rsidP="006D56F8">
            <w:pPr>
              <w:pStyle w:val="NoSpacing"/>
              <w:rPr>
                <w:rFonts w:cs="Times New Roman"/>
                <w:color w:val="819909" w:themeColor="accent1"/>
                <w:sz w:val="20"/>
                <w:szCs w:val="20"/>
              </w:rPr>
            </w:pPr>
            <w:r w:rsidRPr="006D56F8">
              <w:rPr>
                <w:rFonts w:cs="Times New Roman"/>
                <w:b w:val="0"/>
                <w:color w:val="819909" w:themeColor="accent1"/>
                <w:sz w:val="20"/>
                <w:szCs w:val="20"/>
              </w:rPr>
              <w:t>1: Historical data are not available</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3C1DB3BC"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5A850A10"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3CDFEEB1"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75D4BED6"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7DA9FCF8"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7D5A9F37"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189AFB31"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0CA3442C"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6E7AF664"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7E4B532F"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r>
      <w:tr w:rsidR="006D56F8" w:rsidRPr="006D56F8" w14:paraId="51DB5E3A" w14:textId="77777777" w:rsidTr="00EF348B">
        <w:trPr>
          <w:trHeight w:val="596"/>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1D5B6051" w14:textId="77777777" w:rsidR="006D56F8" w:rsidRPr="006D56F8" w:rsidRDefault="006D56F8" w:rsidP="006D56F8">
            <w:pPr>
              <w:pStyle w:val="NoSpacing"/>
              <w:rPr>
                <w:rFonts w:cs="Times New Roman"/>
                <w:color w:val="819909" w:themeColor="accent1"/>
                <w:sz w:val="20"/>
                <w:szCs w:val="20"/>
              </w:rPr>
            </w:pPr>
            <w:r w:rsidRPr="006D56F8">
              <w:rPr>
                <w:rFonts w:cs="Times New Roman"/>
                <w:i/>
                <w:color w:val="819909" w:themeColor="accent1"/>
                <w:sz w:val="20"/>
                <w:szCs w:val="20"/>
              </w:rPr>
              <w:t>Spatial Representation</w:t>
            </w:r>
          </w:p>
          <w:p w14:paraId="558AD625" w14:textId="77777777" w:rsidR="006D56F8" w:rsidRPr="006D56F8" w:rsidRDefault="006D56F8" w:rsidP="006D56F8">
            <w:pPr>
              <w:pStyle w:val="NoSpacing"/>
              <w:rPr>
                <w:rFonts w:cs="Times New Roman"/>
                <w:b w:val="0"/>
                <w:color w:val="819909" w:themeColor="accent1"/>
                <w:sz w:val="20"/>
                <w:szCs w:val="20"/>
              </w:rPr>
            </w:pPr>
            <w:r w:rsidRPr="006D56F8">
              <w:rPr>
                <w:rFonts w:cs="Times New Roman"/>
                <w:b w:val="0"/>
                <w:color w:val="819909" w:themeColor="accent1"/>
                <w:sz w:val="20"/>
                <w:szCs w:val="20"/>
              </w:rPr>
              <w:t>10: Data are available for the entire area of interest and allow for analysis at finer scales</w:t>
            </w:r>
          </w:p>
          <w:p w14:paraId="4A4637A9" w14:textId="77777777" w:rsidR="006D56F8" w:rsidRPr="006D56F8" w:rsidRDefault="006D56F8" w:rsidP="006D56F8">
            <w:pPr>
              <w:pStyle w:val="NoSpacing"/>
              <w:rPr>
                <w:rFonts w:cs="Times New Roman"/>
                <w:color w:val="819909" w:themeColor="accent1"/>
                <w:sz w:val="20"/>
                <w:szCs w:val="20"/>
              </w:rPr>
            </w:pPr>
            <w:r w:rsidRPr="006D56F8">
              <w:rPr>
                <w:rFonts w:cs="Times New Roman"/>
                <w:b w:val="0"/>
                <w:color w:val="819909" w:themeColor="accent1"/>
                <w:sz w:val="20"/>
                <w:szCs w:val="20"/>
              </w:rPr>
              <w:t>1: Data are not available for significant portions of the region</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02D22FA8"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547AEAAA"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0A89632A"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53ADFFD9"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553D0D82"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223C20BA"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77C033A4"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238A2400"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0593CC93"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121BDC33"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6D56F8" w:rsidRPr="006D56F8" w14:paraId="02357465" w14:textId="77777777" w:rsidTr="00EF348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0" w:type="auto"/>
            <w:gridSpan w:val="11"/>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80"/>
            <w:vAlign w:val="center"/>
          </w:tcPr>
          <w:p w14:paraId="67BABEC5" w14:textId="77777777" w:rsidR="006D56F8" w:rsidRPr="006D56F8" w:rsidRDefault="006D56F8" w:rsidP="006D56F8">
            <w:pPr>
              <w:pStyle w:val="NoSpacing"/>
              <w:rPr>
                <w:color w:val="819909" w:themeColor="accent1"/>
                <w:sz w:val="20"/>
                <w:szCs w:val="20"/>
              </w:rPr>
            </w:pPr>
            <w:r w:rsidRPr="006D56F8">
              <w:rPr>
                <w:color w:val="819909" w:themeColor="accent1"/>
                <w:sz w:val="20"/>
                <w:szCs w:val="20"/>
              </w:rPr>
              <w:t>USELFULNESS, UNDERSTANDING AND RESONANCE</w:t>
            </w:r>
          </w:p>
        </w:tc>
      </w:tr>
      <w:tr w:rsidR="006D56F8" w:rsidRPr="006D56F8" w14:paraId="3F94BC36" w14:textId="77777777" w:rsidTr="00EF348B">
        <w:trPr>
          <w:trHeight w:val="596"/>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57BEFE96" w14:textId="77777777" w:rsidR="006D56F8" w:rsidRPr="006D56F8" w:rsidRDefault="006D56F8" w:rsidP="006D56F8">
            <w:pPr>
              <w:pStyle w:val="NoSpacing"/>
              <w:rPr>
                <w:rFonts w:cs="Times New Roman"/>
                <w:color w:val="819909" w:themeColor="accent1"/>
                <w:sz w:val="20"/>
                <w:szCs w:val="20"/>
              </w:rPr>
            </w:pPr>
            <w:r w:rsidRPr="006D56F8">
              <w:rPr>
                <w:rFonts w:cs="Times New Roman"/>
                <w:i/>
                <w:color w:val="819909" w:themeColor="accent1"/>
                <w:sz w:val="20"/>
                <w:szCs w:val="20"/>
              </w:rPr>
              <w:t>Relevance</w:t>
            </w:r>
          </w:p>
          <w:p w14:paraId="5539ADAA" w14:textId="77777777" w:rsidR="006D56F8" w:rsidRPr="006D56F8" w:rsidRDefault="006D56F8" w:rsidP="006D56F8">
            <w:pPr>
              <w:pStyle w:val="NoSpacing"/>
              <w:rPr>
                <w:rFonts w:cs="Times New Roman"/>
                <w:b w:val="0"/>
                <w:color w:val="819909" w:themeColor="accent1"/>
                <w:sz w:val="20"/>
                <w:szCs w:val="20"/>
              </w:rPr>
            </w:pPr>
            <w:r w:rsidRPr="006D56F8">
              <w:rPr>
                <w:rFonts w:cs="Times New Roman"/>
                <w:b w:val="0"/>
                <w:color w:val="819909" w:themeColor="accent1"/>
                <w:sz w:val="20"/>
                <w:szCs w:val="20"/>
              </w:rPr>
              <w:t>10: The indicator or asset relates to an issue that is important to well-being</w:t>
            </w:r>
          </w:p>
          <w:p w14:paraId="20C83631" w14:textId="77777777" w:rsidR="006D56F8" w:rsidRPr="006D56F8" w:rsidRDefault="006D56F8" w:rsidP="006D56F8">
            <w:pPr>
              <w:pStyle w:val="NoSpacing"/>
              <w:rPr>
                <w:rFonts w:cs="Times New Roman"/>
                <w:color w:val="819909" w:themeColor="accent1"/>
                <w:sz w:val="20"/>
                <w:szCs w:val="20"/>
              </w:rPr>
            </w:pPr>
            <w:r w:rsidRPr="006D56F8">
              <w:rPr>
                <w:rFonts w:cs="Times New Roman"/>
                <w:b w:val="0"/>
                <w:color w:val="819909" w:themeColor="accent1"/>
                <w:sz w:val="20"/>
                <w:szCs w:val="20"/>
              </w:rPr>
              <w:t>1: The indicator or asset relates to an issue that is not important to well-being</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3BD3AAB3"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42487802"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7130BC8A"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75BDF5D6"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138D0EC0"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257BA6E8"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13BECCE1"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19C688DD"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707D57CE"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139E6BA8"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6D56F8" w:rsidRPr="006D56F8" w14:paraId="00D69FF5" w14:textId="77777777" w:rsidTr="00EF348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48053597" w14:textId="77777777" w:rsidR="006D56F8" w:rsidRPr="006D56F8" w:rsidRDefault="006D56F8" w:rsidP="006D56F8">
            <w:pPr>
              <w:pStyle w:val="NoSpacing"/>
              <w:rPr>
                <w:rFonts w:cs="Times New Roman"/>
                <w:i/>
                <w:color w:val="819909" w:themeColor="accent1"/>
                <w:sz w:val="20"/>
                <w:szCs w:val="20"/>
              </w:rPr>
            </w:pPr>
            <w:r w:rsidRPr="006D56F8">
              <w:rPr>
                <w:rFonts w:cs="Times New Roman"/>
                <w:i/>
                <w:color w:val="819909" w:themeColor="accent1"/>
                <w:sz w:val="20"/>
                <w:szCs w:val="20"/>
              </w:rPr>
              <w:t>Regional Applicability</w:t>
            </w:r>
          </w:p>
          <w:p w14:paraId="0AE5B0C2" w14:textId="77777777" w:rsidR="006D56F8" w:rsidRPr="006D56F8" w:rsidRDefault="006D56F8" w:rsidP="006D56F8">
            <w:pPr>
              <w:pStyle w:val="NoSpacing"/>
              <w:rPr>
                <w:rFonts w:cs="Times New Roman"/>
                <w:b w:val="0"/>
                <w:color w:val="819909" w:themeColor="accent1"/>
                <w:sz w:val="20"/>
                <w:szCs w:val="20"/>
              </w:rPr>
            </w:pPr>
            <w:r w:rsidRPr="006D56F8">
              <w:rPr>
                <w:rFonts w:cs="Times New Roman"/>
                <w:b w:val="0"/>
                <w:color w:val="819909" w:themeColor="accent1"/>
                <w:sz w:val="20"/>
                <w:szCs w:val="20"/>
              </w:rPr>
              <w:t>5: The indicator or asset relates to a factor that is important across the entire area of interest</w:t>
            </w:r>
          </w:p>
          <w:p w14:paraId="28BAC038" w14:textId="77777777" w:rsidR="006D56F8" w:rsidRPr="006D56F8" w:rsidRDefault="006D56F8" w:rsidP="006D56F8">
            <w:pPr>
              <w:pStyle w:val="NoSpacing"/>
              <w:rPr>
                <w:rFonts w:cs="Times New Roman"/>
                <w:color w:val="819909" w:themeColor="accent1"/>
                <w:sz w:val="20"/>
                <w:szCs w:val="20"/>
              </w:rPr>
            </w:pPr>
            <w:r w:rsidRPr="006D56F8">
              <w:rPr>
                <w:rFonts w:cs="Times New Roman"/>
                <w:b w:val="0"/>
                <w:color w:val="819909" w:themeColor="accent1"/>
                <w:sz w:val="20"/>
                <w:szCs w:val="20"/>
              </w:rPr>
              <w:t>1: The indicator or asset relates to a factor that is only important to select areas</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1F6CF199"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317D3879"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2BEC5525"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248B4875"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0E676615"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auto"/>
            <w:vAlign w:val="center"/>
          </w:tcPr>
          <w:p w14:paraId="2FC3E23C"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auto"/>
            <w:vAlign w:val="center"/>
          </w:tcPr>
          <w:p w14:paraId="08CAF0E4"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auto"/>
            <w:vAlign w:val="center"/>
          </w:tcPr>
          <w:p w14:paraId="6C880D2D"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auto"/>
            <w:vAlign w:val="center"/>
          </w:tcPr>
          <w:p w14:paraId="3A6E79F3"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auto"/>
            <w:vAlign w:val="center"/>
          </w:tcPr>
          <w:p w14:paraId="3B4929D5"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r>
      <w:tr w:rsidR="006D56F8" w:rsidRPr="006D56F8" w14:paraId="23DBD00B" w14:textId="77777777" w:rsidTr="00EF348B">
        <w:trPr>
          <w:trHeight w:val="596"/>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44C329BC" w14:textId="77777777" w:rsidR="006D56F8" w:rsidRPr="006D56F8" w:rsidRDefault="006D56F8" w:rsidP="006D56F8">
            <w:pPr>
              <w:pStyle w:val="NoSpacing"/>
              <w:rPr>
                <w:rFonts w:cs="Times New Roman"/>
                <w:color w:val="819909" w:themeColor="accent1"/>
                <w:sz w:val="20"/>
                <w:szCs w:val="20"/>
              </w:rPr>
            </w:pPr>
            <w:r w:rsidRPr="006D56F8">
              <w:rPr>
                <w:rFonts w:cs="Times New Roman"/>
                <w:i/>
                <w:color w:val="819909" w:themeColor="accent1"/>
                <w:sz w:val="20"/>
                <w:szCs w:val="20"/>
              </w:rPr>
              <w:t>Decision-support</w:t>
            </w:r>
          </w:p>
          <w:p w14:paraId="0E24DFD4" w14:textId="77777777" w:rsidR="006D56F8" w:rsidRPr="006D56F8" w:rsidRDefault="006D56F8" w:rsidP="006D56F8">
            <w:pPr>
              <w:pStyle w:val="NoSpacing"/>
              <w:rPr>
                <w:rFonts w:cs="Times New Roman"/>
                <w:b w:val="0"/>
                <w:color w:val="819909" w:themeColor="accent1"/>
                <w:sz w:val="20"/>
                <w:szCs w:val="20"/>
              </w:rPr>
            </w:pPr>
            <w:r w:rsidRPr="006D56F8">
              <w:rPr>
                <w:rFonts w:cs="Times New Roman"/>
                <w:b w:val="0"/>
                <w:color w:val="819909" w:themeColor="accent1"/>
                <w:sz w:val="20"/>
                <w:szCs w:val="20"/>
              </w:rPr>
              <w:t>10: The indicator or asset provides information that is important for decision-making related to well-being</w:t>
            </w:r>
          </w:p>
          <w:p w14:paraId="37AB6E61" w14:textId="77777777" w:rsidR="006D56F8" w:rsidRPr="006D56F8" w:rsidRDefault="006D56F8" w:rsidP="006D56F8">
            <w:pPr>
              <w:pStyle w:val="NoSpacing"/>
              <w:rPr>
                <w:rFonts w:cs="Times New Roman"/>
                <w:color w:val="819909" w:themeColor="accent1"/>
                <w:sz w:val="20"/>
                <w:szCs w:val="20"/>
              </w:rPr>
            </w:pPr>
            <w:r w:rsidRPr="006D56F8">
              <w:rPr>
                <w:rFonts w:cs="Times New Roman"/>
                <w:b w:val="0"/>
                <w:color w:val="819909" w:themeColor="accent1"/>
                <w:sz w:val="20"/>
                <w:szCs w:val="20"/>
              </w:rPr>
              <w:t>1: The indicator or asset provides information that is not important for decision-making related to well-being</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46B65914"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5C8425F0"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54B04193"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08D098FF"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458A1407"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5D2F1C85"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7365FB32"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2A62A80C"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25D5AA01"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10E7B372"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6D56F8" w:rsidRPr="006D56F8" w14:paraId="370437A7" w14:textId="77777777" w:rsidTr="00EF348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42C8EF3E" w14:textId="77777777" w:rsidR="006D56F8" w:rsidRPr="006D56F8" w:rsidRDefault="006D56F8" w:rsidP="006D56F8">
            <w:pPr>
              <w:pStyle w:val="NoSpacing"/>
              <w:rPr>
                <w:rFonts w:cs="Times New Roman"/>
                <w:color w:val="819909" w:themeColor="accent1"/>
                <w:sz w:val="20"/>
                <w:szCs w:val="20"/>
              </w:rPr>
            </w:pPr>
            <w:r w:rsidRPr="006D56F8">
              <w:rPr>
                <w:rFonts w:cs="Times New Roman"/>
                <w:i/>
                <w:color w:val="819909" w:themeColor="accent1"/>
                <w:sz w:val="20"/>
                <w:szCs w:val="20"/>
              </w:rPr>
              <w:t>Broader applicability</w:t>
            </w:r>
          </w:p>
          <w:p w14:paraId="318EEEAC" w14:textId="77777777" w:rsidR="006D56F8" w:rsidRPr="006D56F8" w:rsidRDefault="006D56F8" w:rsidP="006D56F8">
            <w:pPr>
              <w:pStyle w:val="NoSpacing"/>
              <w:rPr>
                <w:rFonts w:cs="Times New Roman"/>
                <w:b w:val="0"/>
                <w:color w:val="819909" w:themeColor="accent1"/>
                <w:sz w:val="20"/>
                <w:szCs w:val="20"/>
              </w:rPr>
            </w:pPr>
            <w:r w:rsidRPr="006D56F8">
              <w:rPr>
                <w:rFonts w:cs="Times New Roman"/>
                <w:b w:val="0"/>
                <w:color w:val="819909" w:themeColor="accent1"/>
                <w:sz w:val="20"/>
                <w:szCs w:val="20"/>
              </w:rPr>
              <w:t>5: The indicator or asset can be, or is being, utilized to understand important issues other than well-being</w:t>
            </w:r>
          </w:p>
          <w:p w14:paraId="53670B75" w14:textId="77777777" w:rsidR="006D56F8" w:rsidRPr="006D56F8" w:rsidRDefault="006D56F8" w:rsidP="006D56F8">
            <w:pPr>
              <w:pStyle w:val="NoSpacing"/>
              <w:rPr>
                <w:rFonts w:cs="Times New Roman"/>
                <w:bCs w:val="0"/>
                <w:color w:val="819909" w:themeColor="accent1"/>
                <w:sz w:val="20"/>
                <w:szCs w:val="20"/>
              </w:rPr>
            </w:pPr>
            <w:r w:rsidRPr="006D56F8">
              <w:rPr>
                <w:rFonts w:cs="Times New Roman"/>
                <w:b w:val="0"/>
                <w:color w:val="819909" w:themeColor="accent1"/>
                <w:sz w:val="20"/>
                <w:szCs w:val="20"/>
              </w:rPr>
              <w:t>1: The indicator or asset cannot be used to understand other important issues</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332F7294"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3E4B60E5"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6CD115D1"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2C3EF0F5"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05AEAE90"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196B8FB3"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4E748125"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668B4E58"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09496103"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5F1B57CD"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r>
      <w:tr w:rsidR="006D56F8" w:rsidRPr="006D56F8" w14:paraId="3E0CCE22" w14:textId="77777777" w:rsidTr="00EF348B">
        <w:trPr>
          <w:trHeight w:val="264"/>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37D7D5E3" w14:textId="77777777" w:rsidR="006D56F8" w:rsidRPr="006D56F8" w:rsidRDefault="006D56F8" w:rsidP="006D56F8">
            <w:pPr>
              <w:pStyle w:val="NoSpacing"/>
              <w:rPr>
                <w:rFonts w:cs="Times New Roman"/>
                <w:color w:val="819909" w:themeColor="accent1"/>
                <w:sz w:val="20"/>
                <w:szCs w:val="20"/>
              </w:rPr>
            </w:pPr>
            <w:r w:rsidRPr="006D56F8">
              <w:rPr>
                <w:rFonts w:cs="Times New Roman"/>
                <w:i/>
                <w:color w:val="819909" w:themeColor="accent1"/>
                <w:sz w:val="20"/>
                <w:szCs w:val="20"/>
              </w:rPr>
              <w:t>Concreteness/Specificity</w:t>
            </w:r>
          </w:p>
          <w:p w14:paraId="6E354598" w14:textId="77777777" w:rsidR="006D56F8" w:rsidRPr="006D56F8" w:rsidRDefault="006D56F8" w:rsidP="006D56F8">
            <w:pPr>
              <w:pStyle w:val="NoSpacing"/>
              <w:rPr>
                <w:rFonts w:cs="Times New Roman"/>
                <w:b w:val="0"/>
                <w:color w:val="819909" w:themeColor="accent1"/>
                <w:sz w:val="20"/>
                <w:szCs w:val="20"/>
              </w:rPr>
            </w:pPr>
            <w:r w:rsidRPr="006D56F8">
              <w:rPr>
                <w:rFonts w:cs="Times New Roman"/>
                <w:b w:val="0"/>
                <w:color w:val="819909" w:themeColor="accent1"/>
                <w:sz w:val="20"/>
                <w:szCs w:val="20"/>
              </w:rPr>
              <w:t>5: The indicator or asset is transparent and clearly defined</w:t>
            </w:r>
          </w:p>
          <w:p w14:paraId="0CBBDA26" w14:textId="77777777" w:rsidR="006D56F8" w:rsidRPr="006D56F8" w:rsidRDefault="006D56F8" w:rsidP="006D56F8">
            <w:pPr>
              <w:pStyle w:val="NoSpacing"/>
              <w:rPr>
                <w:rFonts w:cs="Times New Roman"/>
                <w:color w:val="819909" w:themeColor="accent1"/>
                <w:sz w:val="20"/>
                <w:szCs w:val="20"/>
              </w:rPr>
            </w:pPr>
            <w:r w:rsidRPr="006D56F8">
              <w:rPr>
                <w:rFonts w:cs="Times New Roman"/>
                <w:b w:val="0"/>
                <w:color w:val="819909" w:themeColor="accent1"/>
                <w:sz w:val="20"/>
                <w:szCs w:val="20"/>
              </w:rPr>
              <w:t>1: The indicator or asset is complex and vague</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1DAC9616"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010678E7"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7058DE27"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1C4F6CC4"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2E0C5E1E"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2B83603E"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6A0FFEF7"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02B53EC6"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7E35DAC3"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73166AD1"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6D56F8" w:rsidRPr="006D56F8" w14:paraId="703327CD" w14:textId="77777777" w:rsidTr="00EF348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0C4CD216" w14:textId="77777777" w:rsidR="006D56F8" w:rsidRPr="006D56F8" w:rsidRDefault="006D56F8" w:rsidP="006D56F8">
            <w:pPr>
              <w:pStyle w:val="NoSpacing"/>
              <w:rPr>
                <w:rFonts w:cs="Times New Roman"/>
                <w:color w:val="819909" w:themeColor="accent1"/>
                <w:sz w:val="20"/>
                <w:szCs w:val="20"/>
              </w:rPr>
            </w:pPr>
            <w:r w:rsidRPr="006D56F8">
              <w:rPr>
                <w:rFonts w:cs="Times New Roman"/>
                <w:i/>
                <w:color w:val="819909" w:themeColor="accent1"/>
                <w:sz w:val="20"/>
                <w:szCs w:val="20"/>
              </w:rPr>
              <w:t>Understandability/Accessibility</w:t>
            </w:r>
            <w:r w:rsidRPr="006D56F8">
              <w:rPr>
                <w:rFonts w:cs="Times New Roman"/>
                <w:color w:val="819909" w:themeColor="accent1"/>
                <w:sz w:val="20"/>
                <w:szCs w:val="20"/>
              </w:rPr>
              <w:t xml:space="preserve"> </w:t>
            </w:r>
          </w:p>
          <w:p w14:paraId="7A244066" w14:textId="77777777" w:rsidR="006D56F8" w:rsidRPr="006D56F8" w:rsidRDefault="006D56F8" w:rsidP="006D56F8">
            <w:pPr>
              <w:pStyle w:val="NoSpacing"/>
              <w:rPr>
                <w:rFonts w:cs="Times New Roman"/>
                <w:b w:val="0"/>
                <w:color w:val="819909" w:themeColor="accent1"/>
                <w:sz w:val="20"/>
                <w:szCs w:val="20"/>
              </w:rPr>
            </w:pPr>
            <w:r w:rsidRPr="006D56F8">
              <w:rPr>
                <w:rFonts w:cs="Times New Roman"/>
                <w:b w:val="0"/>
                <w:color w:val="819909" w:themeColor="accent1"/>
                <w:sz w:val="20"/>
                <w:szCs w:val="20"/>
              </w:rPr>
              <w:t>5: Users can clearly understand the significance of changes to the indicator or asset inventory</w:t>
            </w:r>
          </w:p>
          <w:p w14:paraId="5BC781EA" w14:textId="77777777" w:rsidR="006D56F8" w:rsidRPr="006D56F8" w:rsidRDefault="006D56F8" w:rsidP="006D56F8">
            <w:pPr>
              <w:pStyle w:val="NoSpacing"/>
              <w:rPr>
                <w:rFonts w:cs="Times New Roman"/>
                <w:color w:val="819909" w:themeColor="accent1"/>
                <w:sz w:val="20"/>
                <w:szCs w:val="20"/>
              </w:rPr>
            </w:pPr>
            <w:r w:rsidRPr="006D56F8">
              <w:rPr>
                <w:rFonts w:cs="Times New Roman"/>
                <w:b w:val="0"/>
                <w:color w:val="819909" w:themeColor="accent1"/>
                <w:sz w:val="20"/>
                <w:szCs w:val="20"/>
              </w:rPr>
              <w:t>1: The significance of changes to the indicator or asset inventory are poorly understood by users</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0FCFC767"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31216248"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68C42FE8"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496EC99F"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3A39B9A5"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auto"/>
            <w:vAlign w:val="center"/>
          </w:tcPr>
          <w:p w14:paraId="5393C376"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auto"/>
            <w:vAlign w:val="center"/>
          </w:tcPr>
          <w:p w14:paraId="66BE5B82"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auto"/>
            <w:vAlign w:val="center"/>
          </w:tcPr>
          <w:p w14:paraId="2FC97BAB"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auto"/>
            <w:vAlign w:val="center"/>
          </w:tcPr>
          <w:p w14:paraId="5F9A291C"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auto"/>
            <w:vAlign w:val="center"/>
          </w:tcPr>
          <w:p w14:paraId="3827F6C8" w14:textId="77777777" w:rsidR="006D56F8" w:rsidRPr="006D56F8" w:rsidRDefault="006D56F8" w:rsidP="006D56F8">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r>
      <w:tr w:rsidR="006D56F8" w:rsidRPr="006D56F8" w14:paraId="62100E08" w14:textId="77777777" w:rsidTr="00EF348B">
        <w:trPr>
          <w:trHeight w:val="6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77B" w:themeFill="accent1" w:themeFillTint="66"/>
            <w:vAlign w:val="center"/>
          </w:tcPr>
          <w:p w14:paraId="758AD8CF" w14:textId="77777777" w:rsidR="006D56F8" w:rsidRPr="006D56F8" w:rsidRDefault="006D56F8" w:rsidP="006D56F8">
            <w:pPr>
              <w:pStyle w:val="NoSpacing"/>
              <w:rPr>
                <w:rFonts w:cs="Times New Roman"/>
                <w:color w:val="819909" w:themeColor="accent1"/>
                <w:sz w:val="20"/>
                <w:szCs w:val="20"/>
              </w:rPr>
            </w:pPr>
            <w:r w:rsidRPr="006D56F8">
              <w:rPr>
                <w:rFonts w:cs="Times New Roman"/>
                <w:i/>
                <w:color w:val="819909" w:themeColor="accent1"/>
                <w:sz w:val="20"/>
                <w:szCs w:val="20"/>
              </w:rPr>
              <w:t>Public Awareness/Support/Interest</w:t>
            </w:r>
            <w:r w:rsidRPr="006D56F8">
              <w:rPr>
                <w:rFonts w:cs="Times New Roman"/>
                <w:color w:val="819909" w:themeColor="accent1"/>
                <w:sz w:val="20"/>
                <w:szCs w:val="20"/>
              </w:rPr>
              <w:t xml:space="preserve"> </w:t>
            </w:r>
          </w:p>
          <w:p w14:paraId="6AAC686B" w14:textId="77777777" w:rsidR="006D56F8" w:rsidRPr="006D56F8" w:rsidRDefault="006D56F8" w:rsidP="006D56F8">
            <w:pPr>
              <w:pStyle w:val="NoSpacing"/>
              <w:rPr>
                <w:rFonts w:cs="Times New Roman"/>
                <w:b w:val="0"/>
                <w:color w:val="819909" w:themeColor="accent1"/>
                <w:sz w:val="20"/>
                <w:szCs w:val="20"/>
              </w:rPr>
            </w:pPr>
            <w:r w:rsidRPr="006D56F8">
              <w:rPr>
                <w:rFonts w:cs="Times New Roman"/>
                <w:b w:val="0"/>
                <w:color w:val="819909" w:themeColor="accent1"/>
                <w:sz w:val="20"/>
                <w:szCs w:val="20"/>
              </w:rPr>
              <w:t>5: The indicator or asset (including its supporting data) is acceptable to all stakeholders</w:t>
            </w:r>
          </w:p>
          <w:p w14:paraId="732ECE60" w14:textId="77777777" w:rsidR="006D56F8" w:rsidRPr="006D56F8" w:rsidRDefault="006D56F8" w:rsidP="006D56F8">
            <w:pPr>
              <w:pStyle w:val="NoSpacing"/>
              <w:rPr>
                <w:rFonts w:cs="Times New Roman"/>
                <w:color w:val="819909" w:themeColor="accent1"/>
                <w:sz w:val="20"/>
                <w:szCs w:val="20"/>
              </w:rPr>
            </w:pPr>
            <w:r w:rsidRPr="006D56F8">
              <w:rPr>
                <w:rFonts w:cs="Times New Roman"/>
                <w:b w:val="0"/>
                <w:color w:val="819909" w:themeColor="accent1"/>
                <w:sz w:val="20"/>
                <w:szCs w:val="20"/>
              </w:rPr>
              <w:t>1: The indicator or asset is controversial and likely unacceptable to users</w:t>
            </w:r>
            <w:r w:rsidRPr="006D56F8">
              <w:rPr>
                <w:rFonts w:cs="Times New Roman"/>
                <w:color w:val="819909" w:themeColor="accent1"/>
                <w:sz w:val="20"/>
                <w:szCs w:val="20"/>
              </w:rPr>
              <w:t xml:space="preserve">  </w:t>
            </w:r>
          </w:p>
        </w:tc>
        <w:tc>
          <w:tcPr>
            <w:tcW w:w="0" w:type="auto"/>
            <w:tcBorders>
              <w:top w:val="single" w:sz="8" w:space="0" w:color="FFFFFF" w:themeColor="background1"/>
              <w:left w:val="single" w:sz="8" w:space="0" w:color="FFFFFF" w:themeColor="background1"/>
              <w:bottom w:val="nil"/>
              <w:right w:val="single" w:sz="8" w:space="0" w:color="FFFFFF" w:themeColor="background1"/>
            </w:tcBorders>
            <w:shd w:val="clear" w:color="auto" w:fill="E2F77B" w:themeFill="accent1" w:themeFillTint="66"/>
            <w:vAlign w:val="center"/>
          </w:tcPr>
          <w:p w14:paraId="65B01C3A"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nil"/>
              <w:right w:val="single" w:sz="8" w:space="0" w:color="FFFFFF" w:themeColor="background1"/>
            </w:tcBorders>
            <w:shd w:val="clear" w:color="auto" w:fill="E2F77B" w:themeFill="accent1" w:themeFillTint="66"/>
            <w:vAlign w:val="center"/>
          </w:tcPr>
          <w:p w14:paraId="3037D7E1"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nil"/>
              <w:right w:val="single" w:sz="8" w:space="0" w:color="FFFFFF" w:themeColor="background1"/>
            </w:tcBorders>
            <w:shd w:val="clear" w:color="auto" w:fill="E2F77B" w:themeFill="accent1" w:themeFillTint="66"/>
            <w:vAlign w:val="center"/>
          </w:tcPr>
          <w:p w14:paraId="6961A169"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nil"/>
              <w:right w:val="single" w:sz="8" w:space="0" w:color="FFFFFF" w:themeColor="background1"/>
            </w:tcBorders>
            <w:shd w:val="clear" w:color="auto" w:fill="E2F77B" w:themeFill="accent1" w:themeFillTint="66"/>
            <w:vAlign w:val="center"/>
          </w:tcPr>
          <w:p w14:paraId="617A2EB5"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nil"/>
              <w:right w:val="single" w:sz="8" w:space="0" w:color="FFFFFF" w:themeColor="background1"/>
            </w:tcBorders>
            <w:shd w:val="clear" w:color="auto" w:fill="E2F77B" w:themeFill="accent1" w:themeFillTint="66"/>
            <w:vAlign w:val="center"/>
          </w:tcPr>
          <w:p w14:paraId="275EAF5F"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color w:val="819909" w:themeColor="accent1"/>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767A8C47"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5664658B"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6498791C"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486B0B6D"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thinDiagStripe" w:color="auto" w:fill="FFFFFF" w:themeFill="background1"/>
            <w:vAlign w:val="center"/>
          </w:tcPr>
          <w:p w14:paraId="4DA22FC9" w14:textId="77777777" w:rsidR="006D56F8" w:rsidRPr="006D56F8" w:rsidRDefault="006D56F8" w:rsidP="006D56F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bl>
    <w:p w14:paraId="53B05A2B" w14:textId="084E1F26" w:rsidR="00C547F5" w:rsidRPr="005A2087" w:rsidRDefault="00C547F5" w:rsidP="006D56F8">
      <w:pPr>
        <w:spacing w:after="0"/>
        <w:rPr>
          <w:sz w:val="20"/>
          <w:szCs w:val="20"/>
          <w:lang w:eastAsia="en-CA"/>
        </w:rPr>
      </w:pPr>
    </w:p>
    <w:sectPr w:rsidR="00C547F5" w:rsidRPr="005A2087" w:rsidSect="005A2087">
      <w:pgSz w:w="12240" w:h="15840"/>
      <w:pgMar w:top="1070" w:right="1440" w:bottom="1276" w:left="1440" w:header="708" w:footer="482" w:gutter="0"/>
      <w:pgBorders w:offsetFrom="page">
        <w:top w:val="single" w:sz="8" w:space="24" w:color="ACA8A8" w:themeColor="background2" w:themeTint="99"/>
        <w:left w:val="single" w:sz="8" w:space="24" w:color="ACA8A8" w:themeColor="background2" w:themeTint="99"/>
        <w:bottom w:val="single" w:sz="8" w:space="24" w:color="ACA8A8" w:themeColor="background2" w:themeTint="99"/>
        <w:right w:val="single" w:sz="8" w:space="24" w:color="ACA8A8" w:themeColor="background2" w:themeTint="99"/>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160DF" w14:textId="77777777" w:rsidR="003756DE" w:rsidRDefault="003756DE" w:rsidP="00437BF1">
      <w:pPr>
        <w:spacing w:after="0" w:line="240" w:lineRule="auto"/>
      </w:pPr>
      <w:r>
        <w:separator/>
      </w:r>
    </w:p>
  </w:endnote>
  <w:endnote w:type="continuationSeparator" w:id="0">
    <w:p w14:paraId="1C6E0A25" w14:textId="77777777" w:rsidR="003756DE" w:rsidRDefault="003756DE" w:rsidP="0043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B6C31" w14:textId="77777777" w:rsidR="003756DE" w:rsidRDefault="003756DE" w:rsidP="00437BF1">
      <w:pPr>
        <w:spacing w:after="0" w:line="240" w:lineRule="auto"/>
      </w:pPr>
      <w:r>
        <w:separator/>
      </w:r>
    </w:p>
  </w:footnote>
  <w:footnote w:type="continuationSeparator" w:id="0">
    <w:p w14:paraId="100D8F36" w14:textId="77777777" w:rsidR="003756DE" w:rsidRDefault="003756DE" w:rsidP="00437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4770" w14:textId="77777777" w:rsidR="006D56F8" w:rsidRPr="00256E36" w:rsidRDefault="006D56F8" w:rsidP="00322D84">
    <w:pPr>
      <w:pStyle w:val="Header"/>
      <w:jc w:val="right"/>
      <w:rPr>
        <w:rFonts w:ascii="Calibri" w:hAnsi="Calibri"/>
        <w:sz w:val="20"/>
        <w:szCs w:val="20"/>
      </w:rPr>
    </w:pPr>
    <w:r>
      <w:rPr>
        <w:rFonts w:ascii="Calibri" w:hAnsi="Calibri"/>
        <w:sz w:val="20"/>
        <w:szCs w:val="20"/>
      </w:rPr>
      <w:t xml:space="preserve">Rural </w:t>
    </w:r>
    <w:r w:rsidRPr="00256E36">
      <w:rPr>
        <w:rFonts w:ascii="Calibri" w:hAnsi="Calibri"/>
        <w:sz w:val="20"/>
        <w:szCs w:val="20"/>
      </w:rPr>
      <w:t>Development Institute (RDI)</w:t>
    </w:r>
  </w:p>
  <w:p w14:paraId="3FBA6CC7" w14:textId="77777777" w:rsidR="006D56F8" w:rsidRPr="00256E36" w:rsidRDefault="006D56F8" w:rsidP="00322D84">
    <w:pPr>
      <w:pStyle w:val="Header"/>
      <w:jc w:val="right"/>
      <w:rPr>
        <w:rFonts w:ascii="Calibri" w:hAnsi="Calibri"/>
        <w:sz w:val="20"/>
        <w:szCs w:val="20"/>
      </w:rPr>
    </w:pPr>
    <w:r>
      <w:rPr>
        <w:rFonts w:ascii="Calibri" w:hAnsi="Calibri"/>
        <w:sz w:val="20"/>
        <w:szCs w:val="20"/>
      </w:rPr>
      <w:t>Digital Basin Assets &amp; Indicators Decision-making Brief</w:t>
    </w:r>
  </w:p>
  <w:p w14:paraId="6DEBE701" w14:textId="77777777" w:rsidR="006D56F8" w:rsidRDefault="006D56F8" w:rsidP="00322D84">
    <w:pPr>
      <w:pStyle w:val="Header"/>
      <w:jc w:val="right"/>
    </w:pPr>
    <w:r w:rsidRPr="00256E36">
      <w:rPr>
        <w:rFonts w:ascii="Calibri" w:hAnsi="Calibri"/>
        <w:sz w:val="20"/>
        <w:szCs w:val="20"/>
      </w:rPr>
      <w:t>2014/15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276"/>
    <w:multiLevelType w:val="hybridMultilevel"/>
    <w:tmpl w:val="F48E96BE"/>
    <w:lvl w:ilvl="0" w:tplc="B494262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6D7E53"/>
    <w:multiLevelType w:val="hybridMultilevel"/>
    <w:tmpl w:val="0740A4EE"/>
    <w:lvl w:ilvl="0" w:tplc="8CAAD6B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017FEF"/>
    <w:multiLevelType w:val="hybridMultilevel"/>
    <w:tmpl w:val="517A4786"/>
    <w:lvl w:ilvl="0" w:tplc="8826B092">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C50831"/>
    <w:multiLevelType w:val="hybridMultilevel"/>
    <w:tmpl w:val="F8ECF714"/>
    <w:lvl w:ilvl="0" w:tplc="36EA0A84">
      <w:numFmt w:val="bullet"/>
      <w:lvlText w:val="-"/>
      <w:lvlJc w:val="left"/>
      <w:pPr>
        <w:ind w:left="720" w:hanging="360"/>
      </w:pPr>
      <w:rPr>
        <w:rFonts w:ascii="Calibri" w:eastAsia="MS Gothic"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D303E1"/>
    <w:multiLevelType w:val="hybridMultilevel"/>
    <w:tmpl w:val="FDC63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6310F2"/>
    <w:multiLevelType w:val="hybridMultilevel"/>
    <w:tmpl w:val="801632C8"/>
    <w:lvl w:ilvl="0" w:tplc="777434A2">
      <w:start w:val="1"/>
      <w:numFmt w:val="decimal"/>
      <w:pStyle w:val="NumberedParagraph"/>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26CA4F05"/>
    <w:multiLevelType w:val="hybridMultilevel"/>
    <w:tmpl w:val="5AF4DD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CD419F"/>
    <w:multiLevelType w:val="hybridMultilevel"/>
    <w:tmpl w:val="729A0796"/>
    <w:lvl w:ilvl="0" w:tplc="7F58C2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2050D1"/>
    <w:multiLevelType w:val="hybridMultilevel"/>
    <w:tmpl w:val="73227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51091D"/>
    <w:multiLevelType w:val="hybridMultilevel"/>
    <w:tmpl w:val="AE160026"/>
    <w:lvl w:ilvl="0" w:tplc="453CA59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67356F"/>
    <w:multiLevelType w:val="hybridMultilevel"/>
    <w:tmpl w:val="44249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153C0A"/>
    <w:multiLevelType w:val="hybridMultilevel"/>
    <w:tmpl w:val="32C895B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27D3A16"/>
    <w:multiLevelType w:val="hybridMultilevel"/>
    <w:tmpl w:val="5CBC1FAC"/>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57732B8F"/>
    <w:multiLevelType w:val="hybridMultilevel"/>
    <w:tmpl w:val="4AF8839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A400F44"/>
    <w:multiLevelType w:val="hybridMultilevel"/>
    <w:tmpl w:val="CED40F5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3B63ED"/>
    <w:multiLevelType w:val="multilevel"/>
    <w:tmpl w:val="9DCA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6008EE"/>
    <w:multiLevelType w:val="hybridMultilevel"/>
    <w:tmpl w:val="76D42738"/>
    <w:lvl w:ilvl="0" w:tplc="2A58C038">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0401A46"/>
    <w:multiLevelType w:val="hybridMultilevel"/>
    <w:tmpl w:val="9AA2C24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CC3FFC"/>
    <w:multiLevelType w:val="hybridMultilevel"/>
    <w:tmpl w:val="AAECB334"/>
    <w:lvl w:ilvl="0" w:tplc="453CA59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3"/>
  </w:num>
  <w:num w:numId="4">
    <w:abstractNumId w:val="9"/>
  </w:num>
  <w:num w:numId="5">
    <w:abstractNumId w:val="19"/>
  </w:num>
  <w:num w:numId="6">
    <w:abstractNumId w:val="3"/>
  </w:num>
  <w:num w:numId="7">
    <w:abstractNumId w:val="4"/>
  </w:num>
  <w:num w:numId="8">
    <w:abstractNumId w:val="6"/>
  </w:num>
  <w:num w:numId="9">
    <w:abstractNumId w:val="15"/>
  </w:num>
  <w:num w:numId="10">
    <w:abstractNumId w:val="11"/>
  </w:num>
  <w:num w:numId="11">
    <w:abstractNumId w:val="12"/>
  </w:num>
  <w:num w:numId="12">
    <w:abstractNumId w:val="14"/>
  </w:num>
  <w:num w:numId="13">
    <w:abstractNumId w:val="2"/>
  </w:num>
  <w:num w:numId="14">
    <w:abstractNumId w:val="8"/>
  </w:num>
  <w:num w:numId="15">
    <w:abstractNumId w:val="10"/>
  </w:num>
  <w:num w:numId="16">
    <w:abstractNumId w:val="0"/>
  </w:num>
  <w:num w:numId="17">
    <w:abstractNumId w:val="16"/>
  </w:num>
  <w:num w:numId="18">
    <w:abstractNumId w:val="7"/>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7C"/>
    <w:rsid w:val="000172A7"/>
    <w:rsid w:val="00026D20"/>
    <w:rsid w:val="000353D6"/>
    <w:rsid w:val="000550CE"/>
    <w:rsid w:val="00094670"/>
    <w:rsid w:val="000D5CA1"/>
    <w:rsid w:val="000F0878"/>
    <w:rsid w:val="000F22BC"/>
    <w:rsid w:val="00116ACB"/>
    <w:rsid w:val="00171E31"/>
    <w:rsid w:val="00207A8A"/>
    <w:rsid w:val="00213EF3"/>
    <w:rsid w:val="002162BA"/>
    <w:rsid w:val="00246DC9"/>
    <w:rsid w:val="0025586D"/>
    <w:rsid w:val="00263423"/>
    <w:rsid w:val="00276DD1"/>
    <w:rsid w:val="002B7014"/>
    <w:rsid w:val="002C132B"/>
    <w:rsid w:val="002C4EA0"/>
    <w:rsid w:val="002D2CD3"/>
    <w:rsid w:val="002F22EE"/>
    <w:rsid w:val="00302561"/>
    <w:rsid w:val="003329CC"/>
    <w:rsid w:val="003644D2"/>
    <w:rsid w:val="003756DE"/>
    <w:rsid w:val="003A22E2"/>
    <w:rsid w:val="003B1866"/>
    <w:rsid w:val="003E6A82"/>
    <w:rsid w:val="00437BF1"/>
    <w:rsid w:val="004624A2"/>
    <w:rsid w:val="00470F59"/>
    <w:rsid w:val="00472AA4"/>
    <w:rsid w:val="004812F9"/>
    <w:rsid w:val="004D7780"/>
    <w:rsid w:val="004F21E6"/>
    <w:rsid w:val="00570D31"/>
    <w:rsid w:val="00590FE2"/>
    <w:rsid w:val="005A2087"/>
    <w:rsid w:val="005C0CDB"/>
    <w:rsid w:val="005C561F"/>
    <w:rsid w:val="005D70D5"/>
    <w:rsid w:val="006009AE"/>
    <w:rsid w:val="006062BD"/>
    <w:rsid w:val="00620DC7"/>
    <w:rsid w:val="00630D82"/>
    <w:rsid w:val="00646EC9"/>
    <w:rsid w:val="00662B45"/>
    <w:rsid w:val="006D56F8"/>
    <w:rsid w:val="0072614A"/>
    <w:rsid w:val="007B283F"/>
    <w:rsid w:val="007C40FC"/>
    <w:rsid w:val="007D1207"/>
    <w:rsid w:val="007E1231"/>
    <w:rsid w:val="007E6B34"/>
    <w:rsid w:val="007F04F7"/>
    <w:rsid w:val="007F7DD0"/>
    <w:rsid w:val="008130B5"/>
    <w:rsid w:val="0082252F"/>
    <w:rsid w:val="00847EE7"/>
    <w:rsid w:val="008677A9"/>
    <w:rsid w:val="008E5C2C"/>
    <w:rsid w:val="00925BBB"/>
    <w:rsid w:val="00927566"/>
    <w:rsid w:val="0094268B"/>
    <w:rsid w:val="009576DD"/>
    <w:rsid w:val="009F531A"/>
    <w:rsid w:val="009F669A"/>
    <w:rsid w:val="00A10196"/>
    <w:rsid w:val="00A1256C"/>
    <w:rsid w:val="00A1594B"/>
    <w:rsid w:val="00A7117F"/>
    <w:rsid w:val="00AE3E14"/>
    <w:rsid w:val="00B068A5"/>
    <w:rsid w:val="00B3226B"/>
    <w:rsid w:val="00B41A08"/>
    <w:rsid w:val="00BC7ECD"/>
    <w:rsid w:val="00C20076"/>
    <w:rsid w:val="00C3313B"/>
    <w:rsid w:val="00C34F8D"/>
    <w:rsid w:val="00C4217C"/>
    <w:rsid w:val="00C547F5"/>
    <w:rsid w:val="00C57ED8"/>
    <w:rsid w:val="00C83C6E"/>
    <w:rsid w:val="00C91DB2"/>
    <w:rsid w:val="00CD4F16"/>
    <w:rsid w:val="00D07542"/>
    <w:rsid w:val="00D20E31"/>
    <w:rsid w:val="00D27781"/>
    <w:rsid w:val="00D60067"/>
    <w:rsid w:val="00D62CAA"/>
    <w:rsid w:val="00D64465"/>
    <w:rsid w:val="00DD01F6"/>
    <w:rsid w:val="00E25928"/>
    <w:rsid w:val="00E338DA"/>
    <w:rsid w:val="00E573AA"/>
    <w:rsid w:val="00E801B5"/>
    <w:rsid w:val="00ED5D33"/>
    <w:rsid w:val="00F14EAD"/>
    <w:rsid w:val="00F23CC2"/>
    <w:rsid w:val="00F36554"/>
    <w:rsid w:val="00F51258"/>
    <w:rsid w:val="00F95BF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A5C1F5"/>
  <w15:docId w15:val="{1005827C-D7F1-401C-ACA8-3ECDDAB8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8DA"/>
    <w:pPr>
      <w:spacing w:after="200" w:line="276" w:lineRule="auto"/>
    </w:pPr>
  </w:style>
  <w:style w:type="paragraph" w:styleId="Heading1">
    <w:name w:val="heading 1"/>
    <w:basedOn w:val="Normal"/>
    <w:next w:val="Normal"/>
    <w:link w:val="Heading1Char"/>
    <w:uiPriority w:val="9"/>
    <w:qFormat/>
    <w:rsid w:val="00263423"/>
    <w:pPr>
      <w:keepNext/>
      <w:keepLines/>
      <w:spacing w:before="240" w:after="0" w:line="259" w:lineRule="auto"/>
      <w:outlineLvl w:val="0"/>
    </w:pPr>
    <w:rPr>
      <w:rFonts w:ascii="Calibri" w:eastAsiaTheme="majorEastAsia" w:hAnsi="Calibri" w:cstheme="majorBidi"/>
      <w:b/>
      <w:smallCaps/>
      <w:color w:val="819909" w:themeColor="text2"/>
      <w:sz w:val="36"/>
      <w:szCs w:val="32"/>
    </w:rPr>
  </w:style>
  <w:style w:type="paragraph" w:styleId="Heading2">
    <w:name w:val="heading 2"/>
    <w:basedOn w:val="Normal"/>
    <w:next w:val="Normal"/>
    <w:link w:val="Heading2Char"/>
    <w:uiPriority w:val="9"/>
    <w:qFormat/>
    <w:rsid w:val="00437BF1"/>
    <w:pPr>
      <w:keepNext/>
      <w:keepLines/>
      <w:spacing w:before="200" w:after="0" w:line="259" w:lineRule="auto"/>
      <w:outlineLvl w:val="1"/>
    </w:pPr>
    <w:rPr>
      <w:rFonts w:ascii="Calibri" w:eastAsiaTheme="majorEastAsia" w:hAnsi="Calibri" w:cstheme="majorBidi"/>
      <w:b/>
      <w:bCs/>
      <w:smallCaps/>
      <w:color w:val="819909" w:themeColor="text2"/>
      <w:sz w:val="28"/>
      <w:szCs w:val="26"/>
    </w:rPr>
  </w:style>
  <w:style w:type="paragraph" w:styleId="Heading3">
    <w:name w:val="heading 3"/>
    <w:basedOn w:val="Normal"/>
    <w:next w:val="Normal"/>
    <w:link w:val="Heading3Char"/>
    <w:uiPriority w:val="9"/>
    <w:qFormat/>
    <w:rsid w:val="00437BF1"/>
    <w:pPr>
      <w:keepNext/>
      <w:keepLines/>
      <w:spacing w:before="200" w:after="0" w:line="259" w:lineRule="auto"/>
      <w:outlineLvl w:val="2"/>
    </w:pPr>
    <w:rPr>
      <w:rFonts w:ascii="Calibri" w:eastAsiaTheme="majorEastAsia" w:hAnsi="Calibri" w:cstheme="majorBidi"/>
      <w:bCs/>
      <w:smallCaps/>
      <w:color w:val="819909" w:themeColor="text2"/>
      <w:sz w:val="26"/>
    </w:rPr>
  </w:style>
  <w:style w:type="paragraph" w:styleId="Heading4">
    <w:name w:val="heading 4"/>
    <w:basedOn w:val="Normal"/>
    <w:next w:val="Normal"/>
    <w:link w:val="Heading4Char"/>
    <w:uiPriority w:val="9"/>
    <w:qFormat/>
    <w:rsid w:val="00437BF1"/>
    <w:pPr>
      <w:keepNext/>
      <w:keepLines/>
      <w:spacing w:before="200" w:after="0" w:line="259" w:lineRule="auto"/>
      <w:outlineLvl w:val="3"/>
    </w:pPr>
    <w:rPr>
      <w:rFonts w:ascii="Calibri" w:eastAsiaTheme="majorEastAsia" w:hAnsi="Calibri" w:cstheme="majorBidi"/>
      <w:bCs/>
      <w:i/>
      <w:iCs/>
      <w:color w:val="81990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423"/>
    <w:rPr>
      <w:rFonts w:ascii="Calibri" w:eastAsiaTheme="majorEastAsia" w:hAnsi="Calibri" w:cstheme="majorBidi"/>
      <w:b/>
      <w:smallCaps/>
      <w:color w:val="819909" w:themeColor="text2"/>
      <w:sz w:val="36"/>
      <w:szCs w:val="32"/>
    </w:rPr>
  </w:style>
  <w:style w:type="paragraph" w:styleId="Title">
    <w:name w:val="Title"/>
    <w:basedOn w:val="Normal"/>
    <w:next w:val="Normal"/>
    <w:link w:val="TitleChar"/>
    <w:uiPriority w:val="10"/>
    <w:qFormat/>
    <w:rsid w:val="005C561F"/>
    <w:pPr>
      <w:spacing w:after="300" w:line="240" w:lineRule="auto"/>
      <w:contextualSpacing/>
    </w:pPr>
    <w:rPr>
      <w:rFonts w:ascii="Calibri" w:eastAsiaTheme="majorEastAsia" w:hAnsi="Calibri" w:cstheme="majorBidi"/>
      <w:smallCaps/>
      <w:color w:val="819909" w:themeColor="text2"/>
      <w:spacing w:val="5"/>
      <w:kern w:val="28"/>
      <w:sz w:val="52"/>
      <w:szCs w:val="52"/>
    </w:rPr>
  </w:style>
  <w:style w:type="character" w:customStyle="1" w:styleId="TitleChar">
    <w:name w:val="Title Char"/>
    <w:basedOn w:val="DefaultParagraphFont"/>
    <w:link w:val="Title"/>
    <w:uiPriority w:val="10"/>
    <w:rsid w:val="005C561F"/>
    <w:rPr>
      <w:rFonts w:ascii="Calibri" w:eastAsiaTheme="majorEastAsia" w:hAnsi="Calibri" w:cstheme="majorBidi"/>
      <w:smallCaps/>
      <w:color w:val="819909" w:themeColor="text2"/>
      <w:spacing w:val="5"/>
      <w:kern w:val="28"/>
      <w:sz w:val="52"/>
      <w:szCs w:val="52"/>
    </w:rPr>
  </w:style>
  <w:style w:type="paragraph" w:styleId="Subtitle">
    <w:name w:val="Subtitle"/>
    <w:basedOn w:val="Normal"/>
    <w:next w:val="Normal"/>
    <w:link w:val="SubtitleChar"/>
    <w:uiPriority w:val="10"/>
    <w:qFormat/>
    <w:rsid w:val="00437BF1"/>
    <w:pPr>
      <w:numPr>
        <w:ilvl w:val="1"/>
      </w:numPr>
      <w:spacing w:after="160" w:line="259" w:lineRule="auto"/>
    </w:pPr>
    <w:rPr>
      <w:rFonts w:ascii="Calibri" w:eastAsiaTheme="majorEastAsia" w:hAnsi="Calibri" w:cstheme="majorBidi"/>
      <w:i/>
      <w:iCs/>
      <w:smallCaps/>
      <w:color w:val="757070" w:themeColor="background2"/>
      <w:spacing w:val="15"/>
      <w:sz w:val="28"/>
      <w:szCs w:val="24"/>
    </w:rPr>
  </w:style>
  <w:style w:type="character" w:customStyle="1" w:styleId="SubtitleChar">
    <w:name w:val="Subtitle Char"/>
    <w:basedOn w:val="DefaultParagraphFont"/>
    <w:link w:val="Subtitle"/>
    <w:uiPriority w:val="10"/>
    <w:rsid w:val="00D20E31"/>
    <w:rPr>
      <w:rFonts w:ascii="Calibri" w:eastAsiaTheme="majorEastAsia" w:hAnsi="Calibri" w:cstheme="majorBidi"/>
      <w:i/>
      <w:iCs/>
      <w:smallCaps/>
      <w:color w:val="757070" w:themeColor="background2"/>
      <w:spacing w:val="15"/>
      <w:sz w:val="28"/>
      <w:szCs w:val="24"/>
    </w:rPr>
  </w:style>
  <w:style w:type="character" w:styleId="Hyperlink">
    <w:name w:val="Hyperlink"/>
    <w:uiPriority w:val="99"/>
    <w:rsid w:val="00F23CC2"/>
    <w:rPr>
      <w:rFonts w:cs="Times New Roman"/>
      <w:color w:val="0000FF"/>
      <w:u w:val="single"/>
    </w:rPr>
  </w:style>
  <w:style w:type="paragraph" w:styleId="BalloonText">
    <w:name w:val="Balloon Text"/>
    <w:basedOn w:val="Normal"/>
    <w:link w:val="BalloonTextChar"/>
    <w:uiPriority w:val="99"/>
    <w:semiHidden/>
    <w:unhideWhenUsed/>
    <w:rsid w:val="00F23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CC2"/>
    <w:rPr>
      <w:rFonts w:ascii="Tahoma" w:hAnsi="Tahoma" w:cs="Tahoma"/>
      <w:sz w:val="16"/>
      <w:szCs w:val="16"/>
    </w:rPr>
  </w:style>
  <w:style w:type="character" w:customStyle="1" w:styleId="Heading2Char">
    <w:name w:val="Heading 2 Char"/>
    <w:basedOn w:val="DefaultParagraphFont"/>
    <w:link w:val="Heading2"/>
    <w:uiPriority w:val="9"/>
    <w:rsid w:val="00437BF1"/>
    <w:rPr>
      <w:rFonts w:ascii="Calibri" w:eastAsiaTheme="majorEastAsia" w:hAnsi="Calibri" w:cstheme="majorBidi"/>
      <w:b/>
      <w:bCs/>
      <w:smallCaps/>
      <w:color w:val="819909" w:themeColor="text2"/>
      <w:sz w:val="28"/>
      <w:szCs w:val="26"/>
    </w:rPr>
  </w:style>
  <w:style w:type="character" w:customStyle="1" w:styleId="Heading3Char">
    <w:name w:val="Heading 3 Char"/>
    <w:basedOn w:val="DefaultParagraphFont"/>
    <w:link w:val="Heading3"/>
    <w:uiPriority w:val="9"/>
    <w:rsid w:val="00437BF1"/>
    <w:rPr>
      <w:rFonts w:ascii="Calibri" w:eastAsiaTheme="majorEastAsia" w:hAnsi="Calibri" w:cstheme="majorBidi"/>
      <w:bCs/>
      <w:smallCaps/>
      <w:color w:val="819909" w:themeColor="text2"/>
      <w:sz w:val="26"/>
    </w:rPr>
  </w:style>
  <w:style w:type="character" w:customStyle="1" w:styleId="Heading4Char">
    <w:name w:val="Heading 4 Char"/>
    <w:basedOn w:val="DefaultParagraphFont"/>
    <w:link w:val="Heading4"/>
    <w:uiPriority w:val="9"/>
    <w:rsid w:val="00437BF1"/>
    <w:rPr>
      <w:rFonts w:ascii="Calibri" w:eastAsiaTheme="majorEastAsia" w:hAnsi="Calibri" w:cstheme="majorBidi"/>
      <w:bCs/>
      <w:i/>
      <w:iCs/>
      <w:color w:val="819909" w:themeColor="text2"/>
    </w:rPr>
  </w:style>
  <w:style w:type="paragraph" w:customStyle="1" w:styleId="NonTOCHeading">
    <w:name w:val="Non TOC Heading"/>
    <w:basedOn w:val="Normal"/>
    <w:next w:val="Normal"/>
    <w:uiPriority w:val="1"/>
    <w:qFormat/>
    <w:rsid w:val="00F95BF1"/>
    <w:pPr>
      <w:spacing w:before="240" w:after="0" w:line="259" w:lineRule="auto"/>
    </w:pPr>
    <w:rPr>
      <w:b/>
      <w:smallCaps/>
      <w:color w:val="819909" w:themeColor="text2"/>
      <w:sz w:val="36"/>
    </w:rPr>
  </w:style>
  <w:style w:type="paragraph" w:styleId="TOCHeading">
    <w:name w:val="TOC Heading"/>
    <w:basedOn w:val="NonTOCHeading"/>
    <w:next w:val="Normal"/>
    <w:uiPriority w:val="39"/>
    <w:unhideWhenUsed/>
    <w:rsid w:val="00276DD1"/>
    <w:pPr>
      <w:spacing w:before="480" w:line="276" w:lineRule="auto"/>
    </w:pPr>
    <w:rPr>
      <w:rFonts w:ascii="Calibri" w:hAnsi="Calibri"/>
      <w:bCs/>
      <w:szCs w:val="28"/>
      <w:lang w:val="en-US" w:eastAsia="ja-JP"/>
    </w:rPr>
  </w:style>
  <w:style w:type="paragraph" w:styleId="Header">
    <w:name w:val="header"/>
    <w:basedOn w:val="Normal"/>
    <w:link w:val="HeaderChar"/>
    <w:uiPriority w:val="99"/>
    <w:unhideWhenUsed/>
    <w:rsid w:val="00437BF1"/>
    <w:pPr>
      <w:tabs>
        <w:tab w:val="center" w:pos="4680"/>
        <w:tab w:val="right" w:pos="9360"/>
      </w:tabs>
      <w:spacing w:after="0" w:line="240" w:lineRule="auto"/>
    </w:pPr>
  </w:style>
  <w:style w:type="paragraph" w:styleId="TOC1">
    <w:name w:val="toc 1"/>
    <w:basedOn w:val="Normal"/>
    <w:next w:val="Normal"/>
    <w:autoRedefine/>
    <w:uiPriority w:val="39"/>
    <w:unhideWhenUsed/>
    <w:rsid w:val="00276DD1"/>
    <w:pPr>
      <w:spacing w:after="100" w:line="259" w:lineRule="auto"/>
    </w:pPr>
  </w:style>
  <w:style w:type="character" w:customStyle="1" w:styleId="HeaderChar">
    <w:name w:val="Header Char"/>
    <w:basedOn w:val="DefaultParagraphFont"/>
    <w:link w:val="Header"/>
    <w:uiPriority w:val="99"/>
    <w:rsid w:val="00437BF1"/>
  </w:style>
  <w:style w:type="paragraph" w:styleId="Footer">
    <w:name w:val="footer"/>
    <w:basedOn w:val="Normal"/>
    <w:link w:val="FooterChar"/>
    <w:uiPriority w:val="99"/>
    <w:unhideWhenUsed/>
    <w:rsid w:val="00437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BF1"/>
  </w:style>
  <w:style w:type="paragraph" w:customStyle="1" w:styleId="FooterText">
    <w:name w:val="Footer Text"/>
    <w:basedOn w:val="Normal"/>
    <w:uiPriority w:val="10"/>
    <w:qFormat/>
    <w:rsid w:val="00437BF1"/>
    <w:pPr>
      <w:spacing w:after="0" w:line="259" w:lineRule="auto"/>
    </w:pPr>
    <w:rPr>
      <w:i/>
      <w:color w:val="757070" w:themeColor="background2"/>
      <w:sz w:val="18"/>
    </w:rPr>
  </w:style>
  <w:style w:type="character" w:styleId="IntenseEmphasis">
    <w:name w:val="Intense Emphasis"/>
    <w:basedOn w:val="DefaultParagraphFont"/>
    <w:uiPriority w:val="21"/>
    <w:qFormat/>
    <w:rsid w:val="000550CE"/>
    <w:rPr>
      <w:b/>
      <w:bCs/>
      <w:i/>
      <w:iCs/>
      <w:color w:val="auto"/>
    </w:rPr>
  </w:style>
  <w:style w:type="paragraph" w:styleId="Caption">
    <w:name w:val="caption"/>
    <w:basedOn w:val="Normal"/>
    <w:next w:val="Normal"/>
    <w:uiPriority w:val="35"/>
    <w:qFormat/>
    <w:rsid w:val="000550CE"/>
    <w:pPr>
      <w:spacing w:line="240" w:lineRule="auto"/>
    </w:pPr>
    <w:rPr>
      <w:b/>
      <w:bCs/>
      <w:color w:val="000000" w:themeColor="text1"/>
      <w:sz w:val="20"/>
      <w:szCs w:val="18"/>
    </w:rPr>
  </w:style>
  <w:style w:type="paragraph" w:customStyle="1" w:styleId="Figure">
    <w:name w:val="Figure"/>
    <w:basedOn w:val="Normal"/>
    <w:rsid w:val="000550CE"/>
    <w:pPr>
      <w:spacing w:after="160" w:line="259" w:lineRule="auto"/>
    </w:pPr>
    <w:rPr>
      <w:noProof/>
      <w:lang w:eastAsia="en-CA"/>
    </w:rPr>
  </w:style>
  <w:style w:type="table" w:styleId="LightList-Accent3">
    <w:name w:val="Light List Accent 3"/>
    <w:basedOn w:val="TableNormal"/>
    <w:uiPriority w:val="61"/>
    <w:rsid w:val="00C83C6E"/>
    <w:pPr>
      <w:spacing w:after="0" w:line="240" w:lineRule="auto"/>
    </w:pPr>
    <w:rPr>
      <w:rFonts w:ascii="Calibri" w:hAnsi="Calibri" w:cs="Times New Roman"/>
      <w:szCs w:val="20"/>
    </w:rPr>
    <w:tblPr>
      <w:tblStyleRowBandSize w:val="1"/>
      <w:tblStyleColBandSize w:val="1"/>
      <w:tblBorders>
        <w:top w:val="single" w:sz="8" w:space="0" w:color="5B9BD5" w:themeColor="accent3"/>
        <w:left w:val="single" w:sz="8" w:space="0" w:color="5B9BD5" w:themeColor="accent3"/>
        <w:bottom w:val="single" w:sz="8" w:space="0" w:color="5B9BD5" w:themeColor="accent3"/>
        <w:right w:val="single" w:sz="8" w:space="0" w:color="5B9BD5" w:themeColor="accent3"/>
      </w:tblBorders>
    </w:tblPr>
    <w:tblStylePr w:type="firstRow">
      <w:pPr>
        <w:spacing w:before="0" w:after="0" w:line="240" w:lineRule="auto"/>
      </w:pPr>
      <w:rPr>
        <w:b/>
        <w:bCs/>
        <w:color w:val="FFFFFF" w:themeColor="background1"/>
      </w:rPr>
      <w:tblPr/>
      <w:tcPr>
        <w:shd w:val="clear" w:color="auto" w:fill="5B9BD5" w:themeFill="accent3"/>
      </w:tcPr>
    </w:tblStylePr>
    <w:tblStylePr w:type="lastRow">
      <w:pPr>
        <w:spacing w:before="0" w:after="0" w:line="240" w:lineRule="auto"/>
      </w:pPr>
      <w:rPr>
        <w:b/>
        <w:bCs/>
      </w:rPr>
      <w:tblPr/>
      <w:tcPr>
        <w:tcBorders>
          <w:top w:val="double" w:sz="6" w:space="0" w:color="5B9BD5" w:themeColor="accent3"/>
          <w:left w:val="single" w:sz="8" w:space="0" w:color="5B9BD5" w:themeColor="accent3"/>
          <w:bottom w:val="single" w:sz="8" w:space="0" w:color="5B9BD5" w:themeColor="accent3"/>
          <w:right w:val="single" w:sz="8" w:space="0" w:color="5B9BD5" w:themeColor="accent3"/>
        </w:tcBorders>
      </w:tcPr>
    </w:tblStylePr>
    <w:tblStylePr w:type="firstCol">
      <w:rPr>
        <w:b/>
        <w:bCs/>
      </w:rPr>
    </w:tblStylePr>
    <w:tblStylePr w:type="lastCol">
      <w:rPr>
        <w:b/>
        <w:bCs/>
      </w:rPr>
    </w:tblStylePr>
    <w:tblStylePr w:type="band1Vert">
      <w:tblPr/>
      <w:tcPr>
        <w:tcBorders>
          <w:top w:val="single" w:sz="8" w:space="0" w:color="5B9BD5" w:themeColor="accent3"/>
          <w:left w:val="single" w:sz="8" w:space="0" w:color="5B9BD5" w:themeColor="accent3"/>
          <w:bottom w:val="single" w:sz="8" w:space="0" w:color="5B9BD5" w:themeColor="accent3"/>
          <w:right w:val="single" w:sz="8" w:space="0" w:color="5B9BD5" w:themeColor="accent3"/>
        </w:tcBorders>
      </w:tcPr>
    </w:tblStylePr>
    <w:tblStylePr w:type="band1Horz">
      <w:tblPr/>
      <w:tcPr>
        <w:tcBorders>
          <w:top w:val="single" w:sz="8" w:space="0" w:color="5B9BD5" w:themeColor="accent3"/>
          <w:left w:val="single" w:sz="8" w:space="0" w:color="5B9BD5" w:themeColor="accent3"/>
          <w:bottom w:val="single" w:sz="8" w:space="0" w:color="5B9BD5" w:themeColor="accent3"/>
          <w:right w:val="single" w:sz="8" w:space="0" w:color="5B9BD5" w:themeColor="accent3"/>
        </w:tcBorders>
      </w:tcPr>
    </w:tblStylePr>
  </w:style>
  <w:style w:type="paragraph" w:styleId="NormalWeb">
    <w:name w:val="Normal (Web)"/>
    <w:basedOn w:val="Normal"/>
    <w:uiPriority w:val="99"/>
    <w:unhideWhenUsed/>
    <w:rsid w:val="007D120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20E31"/>
    <w:pPr>
      <w:numPr>
        <w:numId w:val="1"/>
      </w:numPr>
      <w:spacing w:after="160" w:line="259" w:lineRule="auto"/>
      <w:ind w:left="1080"/>
      <w:contextualSpacing/>
    </w:pPr>
  </w:style>
  <w:style w:type="table" w:styleId="TableGrid">
    <w:name w:val="Table Grid"/>
    <w:basedOn w:val="TableNormal"/>
    <w:uiPriority w:val="39"/>
    <w:rsid w:val="00C57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ListParagraph"/>
    <w:uiPriority w:val="34"/>
    <w:qFormat/>
    <w:rsid w:val="00D20E31"/>
    <w:pPr>
      <w:numPr>
        <w:numId w:val="2"/>
      </w:numPr>
      <w:ind w:left="1080"/>
    </w:pPr>
  </w:style>
  <w:style w:type="table" w:styleId="LightList-Accent1">
    <w:name w:val="Light List Accent 1"/>
    <w:basedOn w:val="TableNormal"/>
    <w:uiPriority w:val="61"/>
    <w:rsid w:val="00C83C6E"/>
    <w:pPr>
      <w:spacing w:after="0" w:line="240" w:lineRule="auto"/>
    </w:pPr>
    <w:tblPr>
      <w:tblStyleRowBandSize w:val="1"/>
      <w:tblStyleColBandSize w:val="1"/>
      <w:tblBorders>
        <w:top w:val="single" w:sz="8" w:space="0" w:color="819909" w:themeColor="accent1"/>
        <w:left w:val="single" w:sz="8" w:space="0" w:color="819909" w:themeColor="accent1"/>
        <w:bottom w:val="single" w:sz="8" w:space="0" w:color="819909" w:themeColor="accent1"/>
        <w:right w:val="single" w:sz="8" w:space="0" w:color="819909" w:themeColor="accent1"/>
      </w:tblBorders>
    </w:tblPr>
    <w:tblStylePr w:type="firstRow">
      <w:pPr>
        <w:spacing w:before="0" w:after="0" w:line="240" w:lineRule="auto"/>
      </w:pPr>
      <w:rPr>
        <w:b/>
        <w:bCs/>
        <w:color w:val="FFFFFF" w:themeColor="background1"/>
      </w:rPr>
      <w:tblPr/>
      <w:tcPr>
        <w:shd w:val="clear" w:color="auto" w:fill="819909" w:themeFill="accent1"/>
      </w:tcPr>
    </w:tblStylePr>
    <w:tblStylePr w:type="lastRow">
      <w:pPr>
        <w:spacing w:before="0" w:after="0" w:line="240" w:lineRule="auto"/>
      </w:pPr>
      <w:rPr>
        <w:b/>
        <w:bCs/>
      </w:rPr>
      <w:tblPr/>
      <w:tcPr>
        <w:tcBorders>
          <w:top w:val="double" w:sz="6" w:space="0" w:color="819909" w:themeColor="accent1"/>
          <w:left w:val="single" w:sz="8" w:space="0" w:color="819909" w:themeColor="accent1"/>
          <w:bottom w:val="single" w:sz="8" w:space="0" w:color="819909" w:themeColor="accent1"/>
          <w:right w:val="single" w:sz="8" w:space="0" w:color="819909" w:themeColor="accent1"/>
        </w:tcBorders>
      </w:tcPr>
    </w:tblStylePr>
    <w:tblStylePr w:type="firstCol">
      <w:rPr>
        <w:b/>
        <w:bCs/>
      </w:rPr>
    </w:tblStylePr>
    <w:tblStylePr w:type="lastCol">
      <w:rPr>
        <w:b/>
        <w:bCs/>
      </w:rPr>
    </w:tblStylePr>
    <w:tblStylePr w:type="band1Vert">
      <w:tblPr/>
      <w:tcPr>
        <w:tcBorders>
          <w:top w:val="single" w:sz="8" w:space="0" w:color="819909" w:themeColor="accent1"/>
          <w:left w:val="single" w:sz="8" w:space="0" w:color="819909" w:themeColor="accent1"/>
          <w:bottom w:val="single" w:sz="8" w:space="0" w:color="819909" w:themeColor="accent1"/>
          <w:right w:val="single" w:sz="8" w:space="0" w:color="819909" w:themeColor="accent1"/>
        </w:tcBorders>
      </w:tcPr>
    </w:tblStylePr>
    <w:tblStylePr w:type="band1Horz">
      <w:tblPr/>
      <w:tcPr>
        <w:tcBorders>
          <w:top w:val="single" w:sz="8" w:space="0" w:color="819909" w:themeColor="accent1"/>
          <w:left w:val="single" w:sz="8" w:space="0" w:color="819909" w:themeColor="accent1"/>
          <w:bottom w:val="single" w:sz="8" w:space="0" w:color="819909" w:themeColor="accent1"/>
          <w:right w:val="single" w:sz="8" w:space="0" w:color="819909" w:themeColor="accent1"/>
        </w:tcBorders>
      </w:tcPr>
    </w:tblStylePr>
  </w:style>
  <w:style w:type="paragraph" w:styleId="TOC2">
    <w:name w:val="toc 2"/>
    <w:basedOn w:val="Normal"/>
    <w:next w:val="Normal"/>
    <w:autoRedefine/>
    <w:uiPriority w:val="39"/>
    <w:unhideWhenUsed/>
    <w:rsid w:val="00C83C6E"/>
    <w:pPr>
      <w:spacing w:after="100" w:line="259" w:lineRule="auto"/>
      <w:ind w:left="220"/>
    </w:pPr>
  </w:style>
  <w:style w:type="paragraph" w:styleId="TOC3">
    <w:name w:val="toc 3"/>
    <w:basedOn w:val="Normal"/>
    <w:next w:val="Normal"/>
    <w:autoRedefine/>
    <w:uiPriority w:val="39"/>
    <w:unhideWhenUsed/>
    <w:rsid w:val="00C83C6E"/>
    <w:pPr>
      <w:spacing w:after="100" w:line="259" w:lineRule="auto"/>
      <w:ind w:left="440"/>
    </w:pPr>
  </w:style>
  <w:style w:type="paragraph" w:styleId="TableofFigures">
    <w:name w:val="table of figures"/>
    <w:basedOn w:val="Normal"/>
    <w:next w:val="Normal"/>
    <w:uiPriority w:val="99"/>
    <w:unhideWhenUsed/>
    <w:rsid w:val="00C83C6E"/>
    <w:pPr>
      <w:spacing w:after="0" w:line="259" w:lineRule="auto"/>
    </w:pPr>
  </w:style>
  <w:style w:type="paragraph" w:styleId="BodyText">
    <w:name w:val="Body Text"/>
    <w:basedOn w:val="Normal"/>
    <w:link w:val="BodyTextChar"/>
    <w:rsid w:val="0025586D"/>
    <w:pPr>
      <w:spacing w:after="0" w:line="480" w:lineRule="auto"/>
      <w:ind w:firstLine="54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5586D"/>
    <w:rPr>
      <w:rFonts w:ascii="Times New Roman" w:eastAsia="Times New Roman" w:hAnsi="Times New Roman" w:cs="Times New Roman"/>
      <w:sz w:val="24"/>
      <w:szCs w:val="20"/>
      <w:lang w:val="en-US"/>
    </w:rPr>
  </w:style>
  <w:style w:type="paragraph" w:customStyle="1" w:styleId="Numberedlist">
    <w:name w:val="Numbered list"/>
    <w:basedOn w:val="Normal"/>
    <w:rsid w:val="0025586D"/>
    <w:pPr>
      <w:numPr>
        <w:numId w:val="3"/>
      </w:numPr>
      <w:spacing w:after="0" w:line="480" w:lineRule="auto"/>
    </w:pPr>
    <w:rPr>
      <w:rFonts w:ascii="Times New Roman" w:eastAsia="Times New Roman" w:hAnsi="Times New Roman" w:cs="Times New Roman"/>
      <w:sz w:val="24"/>
      <w:szCs w:val="20"/>
      <w:lang w:val="en-US"/>
    </w:rPr>
  </w:style>
  <w:style w:type="paragraph" w:styleId="BlockText">
    <w:name w:val="Block Text"/>
    <w:basedOn w:val="BodyText"/>
    <w:link w:val="BlockTextChar"/>
    <w:rsid w:val="0025586D"/>
    <w:pPr>
      <w:ind w:firstLine="0"/>
    </w:pPr>
  </w:style>
  <w:style w:type="character" w:customStyle="1" w:styleId="BlockTextChar">
    <w:name w:val="Block Text Char"/>
    <w:link w:val="BlockText"/>
    <w:rsid w:val="0025586D"/>
    <w:rPr>
      <w:rFonts w:ascii="Times New Roman" w:eastAsia="Times New Roman" w:hAnsi="Times New Roman" w:cs="Times New Roman"/>
      <w:sz w:val="24"/>
      <w:szCs w:val="20"/>
      <w:lang w:val="en-US"/>
    </w:rPr>
  </w:style>
  <w:style w:type="paragraph" w:customStyle="1" w:styleId="Reference">
    <w:name w:val="Reference"/>
    <w:basedOn w:val="BodyText"/>
    <w:rsid w:val="0025586D"/>
    <w:pPr>
      <w:ind w:left="547" w:hanging="547"/>
    </w:pPr>
  </w:style>
  <w:style w:type="paragraph" w:styleId="Quote">
    <w:name w:val="Quote"/>
    <w:basedOn w:val="Normal"/>
    <w:next w:val="Normal"/>
    <w:link w:val="QuoteChar"/>
    <w:uiPriority w:val="29"/>
    <w:qFormat/>
    <w:rsid w:val="00CD4F16"/>
    <w:pPr>
      <w:spacing w:after="160" w:line="259" w:lineRule="auto"/>
      <w:ind w:left="720"/>
    </w:pPr>
    <w:rPr>
      <w:i/>
      <w:iCs/>
      <w:color w:val="000000" w:themeColor="text1"/>
    </w:rPr>
  </w:style>
  <w:style w:type="character" w:customStyle="1" w:styleId="QuoteChar">
    <w:name w:val="Quote Char"/>
    <w:basedOn w:val="DefaultParagraphFont"/>
    <w:link w:val="Quote"/>
    <w:uiPriority w:val="29"/>
    <w:rsid w:val="00CD4F16"/>
    <w:rPr>
      <w:i/>
      <w:iCs/>
      <w:color w:val="000000" w:themeColor="text1"/>
    </w:rPr>
  </w:style>
  <w:style w:type="character" w:styleId="Strong">
    <w:name w:val="Strong"/>
    <w:basedOn w:val="DefaultParagraphFont"/>
    <w:uiPriority w:val="22"/>
    <w:qFormat/>
    <w:rsid w:val="00E338DA"/>
    <w:rPr>
      <w:b/>
      <w:bCs/>
    </w:rPr>
  </w:style>
  <w:style w:type="character" w:styleId="CommentReference">
    <w:name w:val="annotation reference"/>
    <w:basedOn w:val="DefaultParagraphFont"/>
    <w:uiPriority w:val="99"/>
    <w:semiHidden/>
    <w:unhideWhenUsed/>
    <w:rsid w:val="006062BD"/>
    <w:rPr>
      <w:sz w:val="16"/>
      <w:szCs w:val="16"/>
    </w:rPr>
  </w:style>
  <w:style w:type="paragraph" w:styleId="CommentText">
    <w:name w:val="annotation text"/>
    <w:basedOn w:val="Normal"/>
    <w:link w:val="CommentTextChar"/>
    <w:uiPriority w:val="99"/>
    <w:semiHidden/>
    <w:unhideWhenUsed/>
    <w:rsid w:val="006062BD"/>
    <w:pPr>
      <w:spacing w:line="240" w:lineRule="auto"/>
    </w:pPr>
    <w:rPr>
      <w:sz w:val="20"/>
      <w:szCs w:val="20"/>
    </w:rPr>
  </w:style>
  <w:style w:type="character" w:customStyle="1" w:styleId="CommentTextChar">
    <w:name w:val="Comment Text Char"/>
    <w:basedOn w:val="DefaultParagraphFont"/>
    <w:link w:val="CommentText"/>
    <w:uiPriority w:val="99"/>
    <w:semiHidden/>
    <w:rsid w:val="006062BD"/>
    <w:rPr>
      <w:sz w:val="20"/>
      <w:szCs w:val="20"/>
    </w:rPr>
  </w:style>
  <w:style w:type="paragraph" w:styleId="CommentSubject">
    <w:name w:val="annotation subject"/>
    <w:basedOn w:val="CommentText"/>
    <w:next w:val="CommentText"/>
    <w:link w:val="CommentSubjectChar"/>
    <w:uiPriority w:val="99"/>
    <w:semiHidden/>
    <w:unhideWhenUsed/>
    <w:rsid w:val="006062BD"/>
    <w:rPr>
      <w:b/>
      <w:bCs/>
    </w:rPr>
  </w:style>
  <w:style w:type="character" w:customStyle="1" w:styleId="CommentSubjectChar">
    <w:name w:val="Comment Subject Char"/>
    <w:basedOn w:val="CommentTextChar"/>
    <w:link w:val="CommentSubject"/>
    <w:uiPriority w:val="99"/>
    <w:semiHidden/>
    <w:rsid w:val="006062BD"/>
    <w:rPr>
      <w:b/>
      <w:bCs/>
      <w:sz w:val="20"/>
      <w:szCs w:val="20"/>
    </w:rPr>
  </w:style>
  <w:style w:type="paragraph" w:styleId="FootnoteText">
    <w:name w:val="footnote text"/>
    <w:basedOn w:val="Normal"/>
    <w:link w:val="FootnoteTextChar"/>
    <w:uiPriority w:val="99"/>
    <w:unhideWhenUsed/>
    <w:rsid w:val="00ED5D33"/>
    <w:pPr>
      <w:spacing w:after="0" w:line="240" w:lineRule="auto"/>
    </w:pPr>
    <w:rPr>
      <w:sz w:val="24"/>
      <w:szCs w:val="24"/>
    </w:rPr>
  </w:style>
  <w:style w:type="character" w:customStyle="1" w:styleId="FootnoteTextChar">
    <w:name w:val="Footnote Text Char"/>
    <w:basedOn w:val="DefaultParagraphFont"/>
    <w:link w:val="FootnoteText"/>
    <w:uiPriority w:val="99"/>
    <w:rsid w:val="00ED5D33"/>
    <w:rPr>
      <w:sz w:val="24"/>
      <w:szCs w:val="24"/>
    </w:rPr>
  </w:style>
  <w:style w:type="character" w:styleId="FootnoteReference">
    <w:name w:val="footnote reference"/>
    <w:basedOn w:val="DefaultParagraphFont"/>
    <w:uiPriority w:val="99"/>
    <w:unhideWhenUsed/>
    <w:rsid w:val="00ED5D33"/>
    <w:rPr>
      <w:vertAlign w:val="superscript"/>
    </w:rPr>
  </w:style>
  <w:style w:type="paragraph" w:styleId="NoSpacing">
    <w:name w:val="No Spacing"/>
    <w:uiPriority w:val="1"/>
    <w:qFormat/>
    <w:rsid w:val="006D56F8"/>
    <w:pPr>
      <w:spacing w:after="0" w:line="240" w:lineRule="auto"/>
    </w:pPr>
    <w:rPr>
      <w:rFonts w:eastAsiaTheme="minorEastAsia"/>
      <w:sz w:val="24"/>
      <w:szCs w:val="24"/>
      <w:lang w:val="en-US"/>
    </w:rPr>
  </w:style>
  <w:style w:type="character" w:styleId="PlaceholderText">
    <w:name w:val="Placeholder Text"/>
    <w:basedOn w:val="DefaultParagraphFont"/>
    <w:uiPriority w:val="99"/>
    <w:semiHidden/>
    <w:rsid w:val="006D56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78027">
      <w:bodyDiv w:val="1"/>
      <w:marLeft w:val="0"/>
      <w:marRight w:val="0"/>
      <w:marTop w:val="0"/>
      <w:marBottom w:val="0"/>
      <w:divBdr>
        <w:top w:val="none" w:sz="0" w:space="0" w:color="auto"/>
        <w:left w:val="none" w:sz="0" w:space="0" w:color="auto"/>
        <w:bottom w:val="none" w:sz="0" w:space="0" w:color="auto"/>
        <w:right w:val="none" w:sz="0" w:space="0" w:color="auto"/>
      </w:divBdr>
    </w:div>
    <w:div w:id="1043944590">
      <w:bodyDiv w:val="1"/>
      <w:marLeft w:val="0"/>
      <w:marRight w:val="0"/>
      <w:marTop w:val="0"/>
      <w:marBottom w:val="0"/>
      <w:divBdr>
        <w:top w:val="none" w:sz="0" w:space="0" w:color="auto"/>
        <w:left w:val="none" w:sz="0" w:space="0" w:color="auto"/>
        <w:bottom w:val="none" w:sz="0" w:space="0" w:color="auto"/>
        <w:right w:val="none" w:sz="0" w:space="0" w:color="auto"/>
      </w:divBdr>
      <w:divsChild>
        <w:div w:id="313068079">
          <w:marLeft w:val="0"/>
          <w:marRight w:val="0"/>
          <w:marTop w:val="0"/>
          <w:marBottom w:val="0"/>
          <w:divBdr>
            <w:top w:val="none" w:sz="0" w:space="0" w:color="auto"/>
            <w:left w:val="none" w:sz="0" w:space="0" w:color="auto"/>
            <w:bottom w:val="none" w:sz="0" w:space="0" w:color="auto"/>
            <w:right w:val="none" w:sz="0" w:space="0" w:color="auto"/>
          </w:divBdr>
        </w:div>
      </w:divsChild>
    </w:div>
    <w:div w:id="1081173309">
      <w:bodyDiv w:val="1"/>
      <w:marLeft w:val="0"/>
      <w:marRight w:val="0"/>
      <w:marTop w:val="0"/>
      <w:marBottom w:val="0"/>
      <w:divBdr>
        <w:top w:val="none" w:sz="0" w:space="0" w:color="auto"/>
        <w:left w:val="none" w:sz="0" w:space="0" w:color="auto"/>
        <w:bottom w:val="none" w:sz="0" w:space="0" w:color="auto"/>
        <w:right w:val="none" w:sz="0" w:space="0" w:color="auto"/>
      </w:divBdr>
      <w:divsChild>
        <w:div w:id="740639120">
          <w:marLeft w:val="0"/>
          <w:marRight w:val="0"/>
          <w:marTop w:val="0"/>
          <w:marBottom w:val="0"/>
          <w:divBdr>
            <w:top w:val="none" w:sz="0" w:space="0" w:color="auto"/>
            <w:left w:val="none" w:sz="0" w:space="0" w:color="auto"/>
            <w:bottom w:val="none" w:sz="0" w:space="0" w:color="auto"/>
            <w:right w:val="none" w:sz="0" w:space="0" w:color="auto"/>
          </w:divBdr>
        </w:div>
      </w:divsChild>
    </w:div>
    <w:div w:id="1381441639">
      <w:bodyDiv w:val="1"/>
      <w:marLeft w:val="0"/>
      <w:marRight w:val="0"/>
      <w:marTop w:val="0"/>
      <w:marBottom w:val="0"/>
      <w:divBdr>
        <w:top w:val="none" w:sz="0" w:space="0" w:color="auto"/>
        <w:left w:val="none" w:sz="0" w:space="0" w:color="auto"/>
        <w:bottom w:val="none" w:sz="0" w:space="0" w:color="auto"/>
        <w:right w:val="none" w:sz="0" w:space="0" w:color="auto"/>
      </w:divBdr>
      <w:divsChild>
        <w:div w:id="2079546170">
          <w:marLeft w:val="0"/>
          <w:marRight w:val="0"/>
          <w:marTop w:val="0"/>
          <w:marBottom w:val="0"/>
          <w:divBdr>
            <w:top w:val="none" w:sz="0" w:space="0" w:color="auto"/>
            <w:left w:val="none" w:sz="0" w:space="0" w:color="auto"/>
            <w:bottom w:val="none" w:sz="0" w:space="0" w:color="auto"/>
            <w:right w:val="none" w:sz="0" w:space="0" w:color="auto"/>
          </w:divBdr>
          <w:divsChild>
            <w:div w:id="1712801350">
              <w:marLeft w:val="0"/>
              <w:marRight w:val="0"/>
              <w:marTop w:val="0"/>
              <w:marBottom w:val="0"/>
              <w:divBdr>
                <w:top w:val="none" w:sz="0" w:space="0" w:color="auto"/>
                <w:left w:val="none" w:sz="0" w:space="0" w:color="auto"/>
                <w:bottom w:val="none" w:sz="0" w:space="0" w:color="auto"/>
                <w:right w:val="none" w:sz="0" w:space="0" w:color="auto"/>
              </w:divBdr>
              <w:divsChild>
                <w:div w:id="485632439">
                  <w:marLeft w:val="0"/>
                  <w:marRight w:val="0"/>
                  <w:marTop w:val="0"/>
                  <w:marBottom w:val="0"/>
                  <w:divBdr>
                    <w:top w:val="none" w:sz="0" w:space="0" w:color="auto"/>
                    <w:left w:val="none" w:sz="0" w:space="0" w:color="auto"/>
                    <w:bottom w:val="none" w:sz="0" w:space="0" w:color="auto"/>
                    <w:right w:val="none" w:sz="0" w:space="0" w:color="auto"/>
                  </w:divBdr>
                  <w:divsChild>
                    <w:div w:id="808590295">
                      <w:marLeft w:val="0"/>
                      <w:marRight w:val="0"/>
                      <w:marTop w:val="0"/>
                      <w:marBottom w:val="0"/>
                      <w:divBdr>
                        <w:top w:val="none" w:sz="0" w:space="0" w:color="auto"/>
                        <w:left w:val="none" w:sz="0" w:space="0" w:color="auto"/>
                        <w:bottom w:val="none" w:sz="0" w:space="0" w:color="auto"/>
                        <w:right w:val="none" w:sz="0" w:space="0" w:color="auto"/>
                      </w:divBdr>
                      <w:divsChild>
                        <w:div w:id="1188106849">
                          <w:marLeft w:val="0"/>
                          <w:marRight w:val="0"/>
                          <w:marTop w:val="0"/>
                          <w:marBottom w:val="0"/>
                          <w:divBdr>
                            <w:top w:val="none" w:sz="0" w:space="0" w:color="auto"/>
                            <w:left w:val="none" w:sz="0" w:space="0" w:color="auto"/>
                            <w:bottom w:val="none" w:sz="0" w:space="0" w:color="auto"/>
                            <w:right w:val="none" w:sz="0" w:space="0" w:color="auto"/>
                          </w:divBdr>
                          <w:divsChild>
                            <w:div w:id="15393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035954">
      <w:bodyDiv w:val="1"/>
      <w:marLeft w:val="0"/>
      <w:marRight w:val="0"/>
      <w:marTop w:val="0"/>
      <w:marBottom w:val="0"/>
      <w:divBdr>
        <w:top w:val="none" w:sz="0" w:space="0" w:color="auto"/>
        <w:left w:val="none" w:sz="0" w:space="0" w:color="auto"/>
        <w:bottom w:val="none" w:sz="0" w:space="0" w:color="auto"/>
        <w:right w:val="none" w:sz="0" w:space="0" w:color="auto"/>
      </w:divBdr>
      <w:divsChild>
        <w:div w:id="255093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ethoret\Dropbox\Research%20Projects\Admin\RDI_Template_Basi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50419FEE7FBD4FA905CA433F9C0B6A"/>
        <w:category>
          <w:name w:val="General"/>
          <w:gallery w:val="placeholder"/>
        </w:category>
        <w:types>
          <w:type w:val="bbPlcHdr"/>
        </w:types>
        <w:behaviors>
          <w:behavior w:val="content"/>
        </w:behaviors>
        <w:guid w:val="{492EA52E-4D04-A143-BDBF-51A6E7ED68DC}"/>
      </w:docPartPr>
      <w:docPartBody>
        <w:p w:rsidR="003619EB" w:rsidRDefault="00474CCF" w:rsidP="00474CCF">
          <w:pPr>
            <w:pStyle w:val="9450419FEE7FBD4FA905CA433F9C0B6A"/>
          </w:pPr>
          <w:r w:rsidRPr="00593F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CF"/>
    <w:rsid w:val="003619EB"/>
    <w:rsid w:val="00474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CCF"/>
    <w:rPr>
      <w:color w:val="808080"/>
    </w:rPr>
  </w:style>
  <w:style w:type="paragraph" w:customStyle="1" w:styleId="9450419FEE7FBD4FA905CA433F9C0B6A">
    <w:name w:val="9450419FEE7FBD4FA905CA433F9C0B6A"/>
    <w:rsid w:val="00474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RDI_Custom">
      <a:dk1>
        <a:sysClr val="windowText" lastClr="000000"/>
      </a:dk1>
      <a:lt1>
        <a:sysClr val="window" lastClr="FFFFFF"/>
      </a:lt1>
      <a:dk2>
        <a:srgbClr val="819909"/>
      </a:dk2>
      <a:lt2>
        <a:srgbClr val="757070"/>
      </a:lt2>
      <a:accent1>
        <a:srgbClr val="819909"/>
      </a:accent1>
      <a:accent2>
        <a:srgbClr val="FF9900"/>
      </a:accent2>
      <a:accent3>
        <a:srgbClr val="5B9BD5"/>
      </a:accent3>
      <a:accent4>
        <a:srgbClr val="CCE57B"/>
      </a:accent4>
      <a:accent5>
        <a:srgbClr val="FFD699"/>
      </a:accent5>
      <a:accent6>
        <a:srgbClr val="BDD7EE"/>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73D6F-D60A-4268-A936-D1810380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RDI_Template_Basic</Template>
  <TotalTime>0</TotalTime>
  <Pages>4</Pages>
  <Words>948</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Rethoret</dc:creator>
  <cp:lastModifiedBy>Kim Rowe</cp:lastModifiedBy>
  <cp:revision>2</cp:revision>
  <dcterms:created xsi:type="dcterms:W3CDTF">2017-02-17T20:44:00Z</dcterms:created>
  <dcterms:modified xsi:type="dcterms:W3CDTF">2017-02-17T20:44:00Z</dcterms:modified>
</cp:coreProperties>
</file>